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BA68" w14:textId="77777777" w:rsidR="00F53EE2" w:rsidRDefault="00AC554B">
      <w:pPr>
        <w:spacing w:after="3" w:line="259" w:lineRule="auto"/>
        <w:ind w:left="0" w:right="22" w:firstLine="0"/>
        <w:jc w:val="center"/>
      </w:pPr>
      <w:r>
        <w:rPr>
          <w:noProof/>
        </w:rPr>
        <w:drawing>
          <wp:inline distT="0" distB="0" distL="0" distR="0" wp14:anchorId="29B22B30" wp14:editId="332FA7BB">
            <wp:extent cx="771525" cy="866775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E96F0EA" w14:textId="77777777" w:rsidR="00F53EE2" w:rsidRDefault="00AC554B">
      <w:pPr>
        <w:spacing w:after="0" w:line="259" w:lineRule="auto"/>
        <w:ind w:right="81"/>
        <w:jc w:val="center"/>
      </w:pPr>
      <w:r>
        <w:rPr>
          <w:b/>
          <w:sz w:val="22"/>
        </w:rPr>
        <w:t>T</w:t>
      </w:r>
      <w:r>
        <w:rPr>
          <w:b/>
        </w:rPr>
        <w:t xml:space="preserve">RIBUNALE DI </w:t>
      </w:r>
      <w:r>
        <w:rPr>
          <w:b/>
          <w:sz w:val="22"/>
        </w:rPr>
        <w:t>S</w:t>
      </w:r>
      <w:r>
        <w:rPr>
          <w:b/>
        </w:rPr>
        <w:t xml:space="preserve">ANTA </w:t>
      </w:r>
      <w:r>
        <w:rPr>
          <w:b/>
          <w:sz w:val="22"/>
        </w:rPr>
        <w:t>M</w:t>
      </w:r>
      <w:r>
        <w:rPr>
          <w:b/>
        </w:rPr>
        <w:t xml:space="preserve">ARIA </w:t>
      </w:r>
      <w:r>
        <w:rPr>
          <w:b/>
          <w:sz w:val="22"/>
        </w:rPr>
        <w:t>C</w:t>
      </w:r>
      <w:r>
        <w:rPr>
          <w:b/>
        </w:rPr>
        <w:t xml:space="preserve">APUA </w:t>
      </w:r>
      <w:r>
        <w:rPr>
          <w:b/>
          <w:sz w:val="22"/>
        </w:rPr>
        <w:t>V</w:t>
      </w:r>
      <w:r>
        <w:rPr>
          <w:b/>
        </w:rPr>
        <w:t>ETERE</w:t>
      </w:r>
      <w:r>
        <w:rPr>
          <w:b/>
          <w:sz w:val="22"/>
        </w:rPr>
        <w:t xml:space="preserve"> </w:t>
      </w:r>
    </w:p>
    <w:p w14:paraId="4FA4FF46" w14:textId="77777777" w:rsidR="00F53EE2" w:rsidRDefault="00AC554B">
      <w:pPr>
        <w:spacing w:after="0" w:line="259" w:lineRule="auto"/>
        <w:ind w:right="83"/>
        <w:jc w:val="center"/>
      </w:pPr>
      <w:r>
        <w:rPr>
          <w:b/>
        </w:rPr>
        <w:t>UFFICIO</w:t>
      </w:r>
      <w:r>
        <w:rPr>
          <w:b/>
          <w:sz w:val="14"/>
        </w:rPr>
        <w:t xml:space="preserve"> </w:t>
      </w:r>
      <w:r>
        <w:rPr>
          <w:b/>
        </w:rPr>
        <w:t xml:space="preserve">ESECUZIONE </w:t>
      </w:r>
    </w:p>
    <w:p w14:paraId="07E1F819" w14:textId="77777777" w:rsidR="00F53EE2" w:rsidRDefault="00AC554B">
      <w:pPr>
        <w:spacing w:after="4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427BDD" wp14:editId="7F969955">
                <wp:extent cx="6158230" cy="18288"/>
                <wp:effectExtent l="0" t="0" r="0" b="0"/>
                <wp:docPr id="18311" name="Group 18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0883" name="Shape 2088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11" style="width:484.9pt;height:1.44pt;mso-position-horizontal-relative:char;mso-position-vertical-relative:line" coordsize="61582,182">
                <v:shape id="Shape 20884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F79E7E" w14:textId="77777777" w:rsidR="00F53EE2" w:rsidRDefault="00AC554B">
      <w:pPr>
        <w:spacing w:after="87" w:line="259" w:lineRule="auto"/>
        <w:ind w:right="82"/>
        <w:jc w:val="center"/>
      </w:pPr>
      <w:r>
        <w:rPr>
          <w:b/>
        </w:rPr>
        <w:t xml:space="preserve">PROCEDIMENTO n. 59/2024 R.G.E. </w:t>
      </w:r>
    </w:p>
    <w:p w14:paraId="7087FF38" w14:textId="77777777" w:rsidR="00F53EE2" w:rsidRDefault="00AC554B">
      <w:pPr>
        <w:ind w:left="-5"/>
      </w:pPr>
      <w:r>
        <w:t xml:space="preserve">     </w:t>
      </w:r>
      <w:r>
        <w:t xml:space="preserve">Il giudice dell’esecuzione, dott. </w:t>
      </w:r>
      <w:r>
        <w:t xml:space="preserve">Linda  Catagna,      </w:t>
      </w:r>
      <w:r>
        <w:t xml:space="preserve">letti gli atti della procedura esecutiva sopra indicata; </w:t>
      </w:r>
    </w:p>
    <w:p w14:paraId="2C56F112" w14:textId="77777777" w:rsidR="00F53EE2" w:rsidRDefault="00AC554B">
      <w:pPr>
        <w:ind w:left="-5" w:right="75"/>
      </w:pPr>
      <w:r>
        <w:t xml:space="preserve">     considerato che sulla scorta della documentazione in atti sussistono i presupposti per autorizzare la vendita del compendio pignorato; </w:t>
      </w:r>
    </w:p>
    <w:p w14:paraId="1E6B1556" w14:textId="77777777" w:rsidR="00F53EE2" w:rsidRDefault="00AC554B">
      <w:pPr>
        <w:spacing w:line="354" w:lineRule="auto"/>
        <w:ind w:left="-5" w:right="78"/>
      </w:pPr>
      <w:r>
        <w:t xml:space="preserve">     nel caso di specie, non sono emersi elementi tali </w:t>
      </w:r>
      <w:r>
        <w:t>da</w:t>
      </w:r>
      <w:r>
        <w:t xml:space="preserve"> far ritenere che la vendita con le modalità dell’incanto possa far conseguire un prezzo superiore della metà rispetto al valore del bene determinato a norma dell’art. </w:t>
      </w:r>
    </w:p>
    <w:p w14:paraId="0D1E36E6" w14:textId="77777777" w:rsidR="00F53EE2" w:rsidRDefault="00AC554B">
      <w:pPr>
        <w:spacing w:after="87" w:line="259" w:lineRule="auto"/>
        <w:ind w:left="-5" w:right="75"/>
      </w:pPr>
      <w:r>
        <w:t xml:space="preserve">568 c.p.c.;  </w:t>
      </w:r>
    </w:p>
    <w:p w14:paraId="5B2CC0F0" w14:textId="77777777" w:rsidR="00F53EE2" w:rsidRDefault="00AC554B">
      <w:pPr>
        <w:spacing w:after="78"/>
        <w:ind w:left="-5" w:right="75"/>
      </w:pPr>
      <w:r>
        <w:t xml:space="preserve">     ritenuto che sussistono conseguentemente i presupposti per disporre </w:t>
      </w:r>
      <w:r>
        <w:t>che la vendita abbia luogo unicamente nelle forme di cui agli artt. 571, 572, 573 e 574 c.p.c. e con delega delle relative operazioni ex art. 591-bis c.p.c. e sussistono altresì i presupposti per disporre che la vendita abbia luogo con modalità telematiche</w:t>
      </w:r>
      <w:r>
        <w:t xml:space="preserve"> (segnatamente, vendita senza incanto con eventuale gara in modalità asincrona) e nel rispetto della </w:t>
      </w:r>
      <w:r>
        <w:t>normativa regolamentare di cui all’art. 161</w:t>
      </w:r>
      <w:r>
        <w:t xml:space="preserve">-ter disp. att. c.p.c. di cui al decreto del Ministro della Giustizia 26 febbraio 2015, n. 32; </w:t>
      </w:r>
    </w:p>
    <w:p w14:paraId="5EF2978B" w14:textId="77777777" w:rsidR="00F53EE2" w:rsidRDefault="00AC554B">
      <w:pPr>
        <w:ind w:left="-5" w:right="75"/>
      </w:pPr>
      <w:r>
        <w:t xml:space="preserve">     vista la an</w:t>
      </w:r>
      <w:r>
        <w:t>ticipazione delle spese da parte del creditore, come indicato nel decreto 569 c.p.c.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e ritenuto di dover determinare in ordine a detta anticipazione: 1) anticipo sul compenso in misura pari ad euro 1.000,00, oltre oneri di legge;  2) fondo spese per il pag</w:t>
      </w:r>
      <w:r>
        <w:t xml:space="preserve">amento della pubblicità ex art. 490, primo </w:t>
      </w:r>
      <w:r>
        <w:t>comma, c.p.c. (Portale delle vendite pubbliche) nella misura corrispondente al contributo di cui all’art. 18</w:t>
      </w:r>
      <w:r>
        <w:t>-bis del D.P.R. n. 115/2002 per ciascun lotto; 3) fondo spese per il pagamento della pubblicità ex art. 4</w:t>
      </w:r>
      <w:r>
        <w:t xml:space="preserve">90, secondo e terzo comma, c.p.c. (internet; quotidiano; pubblicità commerciale) e delle spese necessarie per la vendita telematica (e, in particolare, delle spese di gestione del conto corrente);   </w:t>
      </w:r>
      <w:r>
        <w:rPr>
          <w:b/>
        </w:rPr>
        <w:t xml:space="preserve">P.Q.M. </w:t>
      </w:r>
    </w:p>
    <w:p w14:paraId="1BAC9FF7" w14:textId="77777777" w:rsidR="00F53EE2" w:rsidRDefault="00AC554B">
      <w:pPr>
        <w:spacing w:after="87" w:line="259" w:lineRule="auto"/>
        <w:ind w:left="-5" w:right="75"/>
      </w:pPr>
      <w:r>
        <w:t xml:space="preserve">     Letti gli artt. 569 e 591-bis c.p.c. </w:t>
      </w:r>
    </w:p>
    <w:p w14:paraId="488192DB" w14:textId="77777777" w:rsidR="00F53EE2" w:rsidRDefault="00AC554B">
      <w:pPr>
        <w:spacing w:after="87" w:line="259" w:lineRule="auto"/>
        <w:ind w:left="-5" w:right="75"/>
      </w:pPr>
      <w:r>
        <w:t xml:space="preserve">     </w:t>
      </w:r>
      <w:r>
        <w:rPr>
          <w:b/>
        </w:rPr>
        <w:t>A</w:t>
      </w:r>
      <w:r>
        <w:rPr>
          <w:b/>
        </w:rPr>
        <w:t>UTORIZZA</w:t>
      </w:r>
      <w:r>
        <w:t xml:space="preserve"> la vendita del compendio pignorato nei termini di seguito indicati. </w:t>
      </w:r>
    </w:p>
    <w:p w14:paraId="2DEBCA61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>DELEGA</w:t>
      </w:r>
      <w:r>
        <w:t xml:space="preserve"> </w:t>
      </w:r>
      <w:r>
        <w:t>per l’espletamento delle operazioni di vendita con le modalità telematiche di seguito indicate, p</w:t>
      </w:r>
      <w:r>
        <w:t>er provvedere sulle istanze di assegnazione ai sensi degli artt. 588, 590 e 591 c.p.c., per gli adempimenti successivi alla vendita e per la redazione e predis</w:t>
      </w:r>
      <w:r>
        <w:t xml:space="preserve">posizione del progetto di distribuzione e gli adempimenti consequenziali il professionista di seguito indicato: </w:t>
      </w:r>
    </w:p>
    <w:p w14:paraId="49BFB784" w14:textId="77777777" w:rsidR="00F53EE2" w:rsidRDefault="00AC554B">
      <w:pPr>
        <w:spacing w:after="87" w:line="259" w:lineRule="auto"/>
        <w:ind w:left="-5" w:right="75"/>
      </w:pPr>
      <w:r>
        <w:t xml:space="preserve">     il dott. ARCANGELO SESSA  </w:t>
      </w:r>
    </w:p>
    <w:p w14:paraId="5AF01958" w14:textId="77777777" w:rsidR="00F53EE2" w:rsidRDefault="00AC554B">
      <w:pPr>
        <w:spacing w:after="120" w:line="259" w:lineRule="auto"/>
        <w:ind w:left="-5" w:right="78"/>
      </w:pPr>
      <w:r>
        <w:t xml:space="preserve">     </w:t>
      </w:r>
      <w:r>
        <w:rPr>
          <w:b/>
        </w:rPr>
        <w:t>FISSA</w:t>
      </w:r>
      <w:r>
        <w:t xml:space="preserve"> </w:t>
      </w:r>
      <w:r>
        <w:t>le seguenti condizioni generali per l’espletamento delle operazioni delegate al professionista:</w:t>
      </w:r>
      <w:r>
        <w:t xml:space="preserve"> </w:t>
      </w:r>
    </w:p>
    <w:p w14:paraId="48092F5E" w14:textId="77777777" w:rsidR="00F53EE2" w:rsidRDefault="00AC554B">
      <w:pPr>
        <w:pStyle w:val="Titolo1"/>
        <w:ind w:left="355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DESCRIZIONE LOTTO</w:t>
      </w:r>
      <w:r>
        <w:rPr>
          <w:u w:val="none"/>
        </w:rPr>
        <w:t xml:space="preserve"> </w:t>
      </w:r>
    </w:p>
    <w:p w14:paraId="236B004B" w14:textId="77777777" w:rsidR="00F53EE2" w:rsidRDefault="00AC554B">
      <w:pPr>
        <w:spacing w:after="87" w:line="259" w:lineRule="auto"/>
        <w:ind w:left="-5" w:right="75"/>
      </w:pPr>
      <w:r>
        <w:t xml:space="preserve">     </w:t>
      </w:r>
      <w:r>
        <w:rPr>
          <w:b/>
        </w:rPr>
        <w:t xml:space="preserve">DISPONE </w:t>
      </w:r>
      <w:r>
        <w:t xml:space="preserve">la vendita del/i bene/i pignorato/i nei termini di seguito indicati: </w:t>
      </w:r>
      <w:r>
        <w:rPr>
          <w:b/>
        </w:rPr>
        <w:t xml:space="preserve"> </w:t>
      </w:r>
    </w:p>
    <w:p w14:paraId="5AF6FA3D" w14:textId="77777777" w:rsidR="00F53EE2" w:rsidRDefault="00AC554B">
      <w:pPr>
        <w:ind w:left="-5" w:right="75"/>
      </w:pPr>
      <w:r>
        <w:t xml:space="preserve">     LOTTO UNO: piena ed intera proprietà di immobile in Caiazzo via Selvetelle (via Madonna delle Grazie snc), identificato in C.F. al foglio 20, p.lla</w:t>
      </w:r>
      <w:r>
        <w:t xml:space="preserve"> 5289, sub 37; </w:t>
      </w:r>
    </w:p>
    <w:p w14:paraId="4FEACA74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 </w:t>
      </w:r>
      <w:r>
        <w:rPr>
          <w:u w:val="single" w:color="000000"/>
        </w:rPr>
        <w:t>VALORE D’ASTA/</w:t>
      </w:r>
      <w:r>
        <w:rPr>
          <w:u w:val="single" w:color="000000"/>
        </w:rPr>
        <w:t>PREZZO DI RIFERIMENTO: EURO ; 143.000,00</w:t>
      </w:r>
      <w:r>
        <w:t xml:space="preserve"> </w:t>
      </w:r>
    </w:p>
    <w:p w14:paraId="7D65AB3D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  </w:t>
      </w:r>
    </w:p>
    <w:p w14:paraId="406740F7" w14:textId="77777777" w:rsidR="00F53EE2" w:rsidRDefault="00AC554B">
      <w:pPr>
        <w:ind w:left="-5" w:right="75"/>
      </w:pPr>
      <w:r>
        <w:t xml:space="preserve">     </w:t>
      </w:r>
      <w:r>
        <w:t>bene/i meglio identificato/i nella relazione di stima e relativi allegati a firma dell’esperto stimatore</w:t>
      </w:r>
      <w:r>
        <w:t xml:space="preserve"> LOTTO DUE: piena ed intera proprietà di immobile in Caiazzo vi</w:t>
      </w:r>
      <w:r>
        <w:t xml:space="preserve">a Selvetelle (via Madonna delle Grazie snc), identificato in C.F. al foglio 20, p.lla 5289, sub 38; </w:t>
      </w:r>
    </w:p>
    <w:p w14:paraId="54341CAB" w14:textId="77777777" w:rsidR="00F53EE2" w:rsidRDefault="00AC554B">
      <w:pPr>
        <w:spacing w:after="90" w:line="259" w:lineRule="auto"/>
        <w:ind w:left="-5" w:right="75"/>
      </w:pPr>
      <w:r>
        <w:lastRenderedPageBreak/>
        <w:t xml:space="preserve">; </w:t>
      </w:r>
    </w:p>
    <w:p w14:paraId="6E3CBD43" w14:textId="77777777" w:rsidR="00F53EE2" w:rsidRDefault="00AC554B">
      <w:pPr>
        <w:spacing w:after="87" w:line="259" w:lineRule="auto"/>
        <w:ind w:left="-5" w:right="0"/>
        <w:jc w:val="left"/>
      </w:pPr>
      <w:r>
        <w:t xml:space="preserve">     </w:t>
      </w:r>
      <w:r>
        <w:rPr>
          <w:u w:val="single" w:color="000000"/>
        </w:rPr>
        <w:t>VALORE D’ASTA/PREZZO DI RIFERIMENTO: EURO ;</w:t>
      </w:r>
      <w:r>
        <w:rPr>
          <w:u w:val="single" w:color="000000"/>
        </w:rPr>
        <w:t xml:space="preserve"> 70.000,00</w:t>
      </w:r>
      <w:r>
        <w:t xml:space="preserve"> </w:t>
      </w:r>
    </w:p>
    <w:p w14:paraId="2B3597D2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  </w:t>
      </w:r>
    </w:p>
    <w:p w14:paraId="420E1D18" w14:textId="77777777" w:rsidR="00F53EE2" w:rsidRDefault="00AC554B">
      <w:pPr>
        <w:ind w:left="-5" w:right="75"/>
      </w:pPr>
      <w:r>
        <w:t xml:space="preserve">     </w:t>
      </w:r>
      <w:r>
        <w:t>bene/i meglio identificato/i nella relazione di stima e relativi allegati a firm</w:t>
      </w:r>
      <w:r>
        <w:t>a dell’esperto stimatore</w:t>
      </w:r>
      <w:r>
        <w:t xml:space="preserve"> LOTTO TRE : piena ed intera proprietà di immobile in Caiazzo via Selvetelle (via Madonna delle Grazie snc), identificato in C.F. al foglio 20, p.lla 5289, sub 31; </w:t>
      </w:r>
    </w:p>
    <w:p w14:paraId="327EF856" w14:textId="77777777" w:rsidR="00F53EE2" w:rsidRDefault="00AC554B">
      <w:pPr>
        <w:spacing w:after="87" w:line="259" w:lineRule="auto"/>
        <w:ind w:left="-5" w:right="75"/>
      </w:pPr>
      <w:r>
        <w:t xml:space="preserve">; </w:t>
      </w:r>
    </w:p>
    <w:p w14:paraId="4C09D42F" w14:textId="77777777" w:rsidR="00F53EE2" w:rsidRDefault="00AC554B">
      <w:pPr>
        <w:spacing w:after="87" w:line="259" w:lineRule="auto"/>
        <w:ind w:left="-5" w:right="0"/>
        <w:jc w:val="left"/>
      </w:pPr>
      <w:r>
        <w:t xml:space="preserve">     </w:t>
      </w:r>
      <w:r>
        <w:rPr>
          <w:u w:val="single" w:color="000000"/>
        </w:rPr>
        <w:t>VALORE D’ASTA/PREZZO DI RIFERIMENTO: EURO ;</w:t>
      </w:r>
      <w:r>
        <w:rPr>
          <w:u w:val="single" w:color="000000"/>
        </w:rPr>
        <w:t xml:space="preserve"> 17.500,00</w:t>
      </w:r>
      <w:r>
        <w:t xml:space="preserve"> </w:t>
      </w:r>
    </w:p>
    <w:p w14:paraId="301DD9DB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</w:t>
      </w:r>
      <w:r>
        <w:t xml:space="preserve">  </w:t>
      </w:r>
    </w:p>
    <w:p w14:paraId="043B64AE" w14:textId="77777777" w:rsidR="00F53EE2" w:rsidRDefault="00AC554B">
      <w:pPr>
        <w:spacing w:line="354" w:lineRule="auto"/>
        <w:ind w:left="-5" w:right="78"/>
      </w:pPr>
      <w:r>
        <w:t xml:space="preserve">     bene/i meglio identificato/i nella relazione di stima e relativi allegati a firma de</w:t>
      </w:r>
      <w:r>
        <w:t>ll’esperto stimatore</w:t>
      </w:r>
      <w:r>
        <w:t>.</w:t>
      </w:r>
      <w:r>
        <w:rPr>
          <w:b/>
        </w:rPr>
        <w:t xml:space="preserve"> </w:t>
      </w:r>
      <w:r>
        <w:t xml:space="preserve">     </w:t>
      </w:r>
      <w:r>
        <w:rPr>
          <w:b/>
        </w:rPr>
        <w:t xml:space="preserve">AUTORIZZA </w:t>
      </w:r>
      <w:r>
        <w:t xml:space="preserve">il professionista delegato ad avvalersi dell’ausilio dell’esperto nominato ex art. 568 c.p.c. per eventuali chiarimenti ai fini della descrizione materiale del/i lotto/i da inserirsi nell’avviso di vendita da </w:t>
      </w:r>
      <w:r>
        <w:t>predisporsi.</w:t>
      </w:r>
      <w:r>
        <w:rPr>
          <w:b/>
        </w:rPr>
        <w:t xml:space="preserve"> </w:t>
      </w:r>
    </w:p>
    <w:p w14:paraId="75920A93" w14:textId="77777777" w:rsidR="00F53EE2" w:rsidRDefault="00AC554B">
      <w:pPr>
        <w:spacing w:after="0" w:line="358" w:lineRule="auto"/>
        <w:ind w:left="-5" w:right="66"/>
      </w:pPr>
      <w:r>
        <w:rPr>
          <w:b/>
        </w:rPr>
        <w:t xml:space="preserve">      PRECISA che nella redazione</w:t>
      </w:r>
      <w:r>
        <w:rPr>
          <w:b/>
        </w:rPr>
        <w:t xml:space="preserve"> dell’avviso di vendita deve essere indicato anche il valore della offerta minima per ogni singolo lotto </w:t>
      </w:r>
    </w:p>
    <w:p w14:paraId="7EAC9F69" w14:textId="77777777" w:rsidR="00F53EE2" w:rsidRDefault="00AC554B">
      <w:pPr>
        <w:spacing w:after="1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6C82A5" w14:textId="77777777" w:rsidR="00F53EE2" w:rsidRDefault="00AC554B">
      <w:pPr>
        <w:pStyle w:val="Titolo1"/>
        <w:ind w:left="355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SPESE</w:t>
      </w:r>
      <w:r>
        <w:rPr>
          <w:u w:val="none"/>
        </w:rPr>
        <w:t xml:space="preserve"> </w:t>
      </w:r>
    </w:p>
    <w:p w14:paraId="40DCC564" w14:textId="77777777" w:rsidR="00F53EE2" w:rsidRDefault="00AC554B">
      <w:pPr>
        <w:ind w:left="-5" w:right="75"/>
      </w:pPr>
      <w:r>
        <w:t xml:space="preserve">     Si richiama quanto già indicato in premessa nel corrente provvedimento e quanto disposto nel decreto 569 c.p.c..  </w:t>
      </w:r>
    </w:p>
    <w:p w14:paraId="708D51CF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>Si dispone ul</w:t>
      </w:r>
      <w:r>
        <w:rPr>
          <w:b/>
        </w:rPr>
        <w:t xml:space="preserve">teriormente che: </w:t>
      </w:r>
      <w:r>
        <w:t xml:space="preserve">il professionista delegato segnali al GE le eventuali mancate anticipazioni sia del fondo spese che di singole voci di spesa e formuli istanza per eventuali integrazioni, specificandone la motivazione.    </w:t>
      </w:r>
    </w:p>
    <w:p w14:paraId="78887326" w14:textId="77777777" w:rsidR="00F53EE2" w:rsidRDefault="00AC554B">
      <w:pPr>
        <w:ind w:left="370" w:right="75"/>
      </w:pPr>
      <w:r>
        <w:rPr>
          <w:b/>
        </w:rPr>
        <w:t>AUTORIZZA</w:t>
      </w:r>
      <w:r>
        <w:t xml:space="preserve"> il professionista ad ef</w:t>
      </w:r>
      <w:r>
        <w:t xml:space="preserve">fettuare il pagamento delle somme dovute per spese di pubblicità mediante prelievo e/o disposizione di bonifico sul conto corrente sopra indicato.    </w:t>
      </w:r>
    </w:p>
    <w:p w14:paraId="25B669E0" w14:textId="77777777" w:rsidR="00F53EE2" w:rsidRDefault="00AC554B">
      <w:pPr>
        <w:spacing w:after="12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2086D98" w14:textId="77777777" w:rsidR="00F53EE2" w:rsidRDefault="00AC554B">
      <w:pPr>
        <w:pStyle w:val="Titolo1"/>
        <w:ind w:left="355"/>
      </w:pPr>
      <w:r>
        <w:rPr>
          <w:u w:val="none"/>
        </w:rPr>
        <w:t>2.</w:t>
      </w:r>
      <w:r>
        <w:rPr>
          <w:rFonts w:ascii="Arial" w:eastAsia="Arial" w:hAnsi="Arial" w:cs="Arial"/>
          <w:u w:val="none"/>
        </w:rPr>
        <w:t xml:space="preserve"> </w:t>
      </w:r>
      <w:r>
        <w:t>TERMINI</w:t>
      </w:r>
      <w:r>
        <w:rPr>
          <w:u w:val="none"/>
        </w:rPr>
        <w:t xml:space="preserve"> </w:t>
      </w:r>
    </w:p>
    <w:p w14:paraId="78615B66" w14:textId="77777777" w:rsidR="00F53EE2" w:rsidRDefault="00AC554B">
      <w:pPr>
        <w:ind w:left="-5" w:right="75"/>
      </w:pPr>
      <w:r>
        <w:rPr>
          <w:b/>
        </w:rPr>
        <w:t xml:space="preserve">       DISPONE </w:t>
      </w:r>
      <w:r>
        <w:t xml:space="preserve">che il professionista delegato provveda alla pubblicazione del primo avviso di vendita nel termine di </w:t>
      </w:r>
      <w:r>
        <w:rPr>
          <w:b/>
        </w:rPr>
        <w:t>15 giorni</w:t>
      </w:r>
      <w:r>
        <w:t xml:space="preserve"> dalla data della presente ordinanza, avendo cura di fissare la data del primo tentativo di vendita quanto prima possibile, nel rispetto dei term</w:t>
      </w:r>
      <w:r>
        <w:t>ini necessari per gli adempimenti pubblicitari;</w:t>
      </w:r>
      <w:r>
        <w:rPr>
          <w:b/>
        </w:rPr>
        <w:t xml:space="preserve"> </w:t>
      </w:r>
    </w:p>
    <w:p w14:paraId="49FC4992" w14:textId="77777777" w:rsidR="00F53EE2" w:rsidRDefault="00AC554B">
      <w:pPr>
        <w:numPr>
          <w:ilvl w:val="0"/>
          <w:numId w:val="1"/>
        </w:numPr>
        <w:ind w:right="75"/>
      </w:pPr>
      <w:r>
        <w:t xml:space="preserve">che, in caso di esito positivo dei tentativi di vendita di seguito autorizzati, il professionista delegato provveda alle operazioni successive nel termine di </w:t>
      </w:r>
      <w:r>
        <w:rPr>
          <w:b/>
        </w:rPr>
        <w:t>150 giorni</w:t>
      </w:r>
      <w:r>
        <w:t xml:space="preserve"> </w:t>
      </w:r>
      <w:r>
        <w:t>dalla data dell’aggiudicazione;</w:t>
      </w:r>
      <w:r>
        <w:t xml:space="preserve"> </w:t>
      </w:r>
    </w:p>
    <w:p w14:paraId="6E9F4712" w14:textId="77777777" w:rsidR="00F53EE2" w:rsidRDefault="00AC554B">
      <w:pPr>
        <w:numPr>
          <w:ilvl w:val="0"/>
          <w:numId w:val="1"/>
        </w:numPr>
        <w:spacing w:line="354" w:lineRule="auto"/>
        <w:ind w:right="75"/>
      </w:pPr>
      <w:r>
        <w:rPr>
          <w:b/>
        </w:rPr>
        <w:t>che i</w:t>
      </w:r>
      <w:r>
        <w:rPr>
          <w:b/>
        </w:rPr>
        <w:t>n un anno dalla emissione della presente ordinanza provveda quantomeno alla fissazione di tre esperimenti di vendita</w:t>
      </w:r>
      <w:r>
        <w:t xml:space="preserve"> </w:t>
      </w:r>
      <w:r>
        <w:t xml:space="preserve">ed ove detta fissazione non sia possibile relazioni, alla scadenza dell’anno dalla </w:t>
      </w:r>
      <w:r>
        <w:t>emissione della presente ordinanza, in ordine alle motiv</w:t>
      </w:r>
      <w:r>
        <w:t xml:space="preserve">azioni del mancato espletamento, tanto ai fini della </w:t>
      </w:r>
      <w:r>
        <w:t xml:space="preserve">vigilanza che il giudice dell’esecuzione deve espletare ai sensi dell’art.591 bis c.p.c.; </w:t>
      </w:r>
      <w:r>
        <w:t xml:space="preserve"> </w:t>
      </w:r>
    </w:p>
    <w:p w14:paraId="6F765FFE" w14:textId="77777777" w:rsidR="00F53EE2" w:rsidRDefault="00AC554B">
      <w:pPr>
        <w:numPr>
          <w:ilvl w:val="0"/>
          <w:numId w:val="1"/>
        </w:numPr>
        <w:ind w:right="75"/>
      </w:pPr>
      <w:r>
        <w:t>che, in caso di esito negativo dei tentativi di vendita di seguito autorizzati, il professionista delegato rime</w:t>
      </w:r>
      <w:r>
        <w:t xml:space="preserve">tta gli atti al giudice nel termine massimo di </w:t>
      </w:r>
      <w:r>
        <w:rPr>
          <w:b/>
        </w:rPr>
        <w:t>18 mesi</w:t>
      </w:r>
      <w:r>
        <w:t xml:space="preserve"> dalla data della presente ordinanza. </w:t>
      </w:r>
    </w:p>
    <w:p w14:paraId="2B4D8730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58481646" w14:textId="77777777" w:rsidR="00F53EE2" w:rsidRDefault="00AC554B">
      <w:pPr>
        <w:pStyle w:val="Titolo1"/>
        <w:ind w:left="355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>
        <w:t>CONTROLLI E ADEMPIMENTI</w:t>
      </w:r>
      <w:r>
        <w:rPr>
          <w:u w:val="none"/>
        </w:rPr>
        <w:t xml:space="preserve"> </w:t>
      </w:r>
    </w:p>
    <w:p w14:paraId="608B7377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 xml:space="preserve">DISPONE </w:t>
      </w:r>
      <w:r>
        <w:t>che il professionista delegato verifichi la corrispondenza tra il diritto indicato nel pignoramento e quello risultante dagli atti, la titolarità dello stesso in capo al/i debitore/i esecutato/i, la completezza della ce</w:t>
      </w:r>
      <w:r>
        <w:t>rtificazione ex art. 567 c.p.c. e del</w:t>
      </w:r>
      <w:r>
        <w:t xml:space="preserve">la relazione di stima depositata dall’esperto nominato ex art. 568 c.p.c., nonché l’adempimento degli incombenti ex art. 498 c.p.c., segnalando tempestivamente al giudice eventuali </w:t>
      </w:r>
      <w:r>
        <w:t xml:space="preserve">discordanze e/o carenze; </w:t>
      </w:r>
      <w:r>
        <w:rPr>
          <w:b/>
        </w:rPr>
        <w:t xml:space="preserve"> </w:t>
      </w:r>
    </w:p>
    <w:p w14:paraId="60D9759E" w14:textId="77777777" w:rsidR="00F53EE2" w:rsidRDefault="00AC554B">
      <w:pPr>
        <w:spacing w:line="354" w:lineRule="auto"/>
        <w:ind w:left="-5" w:right="78"/>
      </w:pPr>
      <w:r>
        <w:lastRenderedPageBreak/>
        <w:t xml:space="preserve">     </w:t>
      </w:r>
      <w:r>
        <w:rPr>
          <w:b/>
        </w:rPr>
        <w:t xml:space="preserve">DISPONE </w:t>
      </w:r>
      <w:r>
        <w:t>che, ai sensi dell’art. 569, ultimo</w:t>
      </w:r>
      <w:r>
        <w:t xml:space="preserve"> comma, c.p.c., il professionista delegato notifichi copia della presente ordinanza almeno 30 giorni prima della vendita ai creditori iscritti non intervenuti, all’eventuale </w:t>
      </w:r>
      <w:r>
        <w:t>coniuge comproprietario non debitore (se trattasi di bene oggetto di comunione leg</w:t>
      </w:r>
      <w:r>
        <w:t xml:space="preserve">ale) ed al debitore originario (se la procedura si svolga contro il terzo proprietario ex artt. 602 e seguenti c.p.c.). </w:t>
      </w:r>
    </w:p>
    <w:p w14:paraId="118222FD" w14:textId="77777777" w:rsidR="00F53EE2" w:rsidRDefault="00AC554B">
      <w:pPr>
        <w:spacing w:after="240" w:line="259" w:lineRule="auto"/>
        <w:ind w:left="0" w:right="0" w:firstLine="0"/>
        <w:jc w:val="left"/>
      </w:pPr>
      <w:r>
        <w:t xml:space="preserve"> </w:t>
      </w:r>
    </w:p>
    <w:p w14:paraId="48850FAA" w14:textId="77777777" w:rsidR="00F53EE2" w:rsidRDefault="00AC554B">
      <w:pPr>
        <w:pStyle w:val="Titolo1"/>
        <w:spacing w:after="207"/>
        <w:ind w:left="355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>
        <w:t>CONTO CORRENTE</w:t>
      </w:r>
      <w:r>
        <w:rPr>
          <w:u w:val="none"/>
        </w:rPr>
        <w:t xml:space="preserve"> </w:t>
      </w:r>
    </w:p>
    <w:p w14:paraId="33B6B8BC" w14:textId="77777777" w:rsidR="00F53EE2" w:rsidRDefault="00AC554B">
      <w:pPr>
        <w:ind w:left="-5" w:right="75"/>
      </w:pPr>
      <w:r>
        <w:t xml:space="preserve">     Per ogni procedura di vendita con modalità telematica è necessario che il professionista delegato proceda ad </w:t>
      </w:r>
      <w:r>
        <w:t xml:space="preserve">aprire presso lo stesso istituto di credito tre differenti conti correnti, tutti contraddistinti dalla modalità home banking, e ciascuno dotato di un proprio strumento informatico di accesso al conto.  </w:t>
      </w:r>
    </w:p>
    <w:p w14:paraId="03D9E52F" w14:textId="77777777" w:rsidR="00F53EE2" w:rsidRDefault="00AC554B">
      <w:pPr>
        <w:spacing w:after="87" w:line="259" w:lineRule="auto"/>
        <w:ind w:left="-5" w:right="78"/>
      </w:pPr>
      <w:r>
        <w:t xml:space="preserve">       A tal fine, fin d</w:t>
      </w:r>
      <w:r>
        <w:t>’ora e con il presente provve</w:t>
      </w:r>
      <w:r>
        <w:t xml:space="preserve">dimento:       </w:t>
      </w:r>
      <w:r>
        <w:t xml:space="preserve"> </w:t>
      </w:r>
    </w:p>
    <w:p w14:paraId="5939EA3B" w14:textId="77777777" w:rsidR="00F53EE2" w:rsidRDefault="00AC554B">
      <w:pPr>
        <w:spacing w:line="354" w:lineRule="auto"/>
        <w:ind w:left="-5" w:right="78"/>
      </w:pPr>
      <w:r>
        <w:t xml:space="preserve">       AUTORIZZA il professionista delegato ad aprire presso lo stesso istituto di credito, </w:t>
      </w:r>
      <w:r>
        <w:rPr>
          <w:b/>
          <w:u w:val="single" w:color="000000"/>
        </w:rPr>
        <w:t>tre distinti conti</w:t>
      </w:r>
      <w:r>
        <w:rPr>
          <w:b/>
        </w:rPr>
        <w:t xml:space="preserve"> </w:t>
      </w:r>
      <w:r>
        <w:rPr>
          <w:b/>
          <w:u w:val="single" w:color="000000"/>
        </w:rPr>
        <w:t>correnti</w:t>
      </w:r>
      <w:r>
        <w:t xml:space="preserve"> </w:t>
      </w:r>
      <w:r>
        <w:t xml:space="preserve">bancari, presso uno dei seguenti istituti di credito: 1)) Unicredit S.p.a.; 2) BNL S.p.a.; 3) BCC “Terra di Lavoro San </w:t>
      </w:r>
      <w:r>
        <w:t xml:space="preserve">Vincenzo de Paoli” scpa; 4) Intesa San Paolo S.p.a.; 5) Banca di Credito Popolare Torre del Greco; </w:t>
      </w:r>
      <w:r>
        <w:t xml:space="preserve">6) Banca Popolare di Puglia e Basilicata o altro istituto di credito, previa autorizzazione da richiedersi al giudice;        </w:t>
      </w:r>
      <w:r>
        <w:rPr>
          <w:b/>
        </w:rPr>
        <w:t xml:space="preserve">DISPONE: </w:t>
      </w:r>
    </w:p>
    <w:p w14:paraId="1DDBAF14" w14:textId="77777777" w:rsidR="00F53EE2" w:rsidRDefault="00AC554B">
      <w:pPr>
        <w:numPr>
          <w:ilvl w:val="0"/>
          <w:numId w:val="2"/>
        </w:numPr>
        <w:spacing w:line="354" w:lineRule="auto"/>
        <w:ind w:right="78"/>
      </w:pPr>
      <w:r>
        <w:t xml:space="preserve">che i conti correnti </w:t>
      </w:r>
      <w:r>
        <w:t xml:space="preserve">siano intestati tutti al Tribunale di Santa Maria Capua Vetere con indicazione del </w:t>
      </w:r>
      <w:r>
        <w:t>numero della procedura (“Tribunale Santa Maria Capua Vetere Proc. n. R.G.E.”): il primo, denominato conto A o “conto spese”, il secondo denominato conto B o “conto cauzione”</w:t>
      </w:r>
      <w:r>
        <w:t>, il terzo denominato conto C o “conto rendite o prezzo” con il risultato che ogni conto sarà così denominato, in tutti gli atti di gara “Tribunale Santa Maria Capua Vetere Proc. n. R.G.E…../A”; gara “Tribunale Santa Maria Capua Vetere Proc. n. R.G.E…../B”</w:t>
      </w:r>
      <w:r>
        <w:t xml:space="preserve"> e gara “Tribunale Santa Maria Capua Vetere Proc. n. R.G.E…../C”; precisando ulteriormente che il conto spese è all’ordine del del</w:t>
      </w:r>
      <w:r>
        <w:t xml:space="preserve">egato e dietro sua responsabilità;   </w:t>
      </w:r>
    </w:p>
    <w:p w14:paraId="0FD85D59" w14:textId="77777777" w:rsidR="00F53EE2" w:rsidRDefault="00AC554B">
      <w:pPr>
        <w:numPr>
          <w:ilvl w:val="0"/>
          <w:numId w:val="2"/>
        </w:numPr>
        <w:spacing w:line="354" w:lineRule="auto"/>
        <w:ind w:right="78"/>
      </w:pPr>
      <w:r>
        <w:t>che i  conti correnti siano entrambi con servizio di home banking per la verifica in tem</w:t>
      </w:r>
      <w:r>
        <w:t xml:space="preserve">po reale dell’accredito </w:t>
      </w:r>
      <w:r>
        <w:t xml:space="preserve">delle somme, e che ognuno dei conti sia assistito da strumento informatico dedicato alla registrazione degli accessi, e che il professionista delegato depositi, unitamente agli atti </w:t>
      </w:r>
      <w:r>
        <w:t>–</w:t>
      </w:r>
      <w:r>
        <w:t xml:space="preserve"> esito della gara, documento dal quale </w:t>
      </w:r>
      <w:r>
        <w:t>evincere i</w:t>
      </w:r>
      <w:r>
        <w:t xml:space="preserve">l c.d. “storico degli accessi” o “home report” per ciascuno dei conti indicati, al fine di consentire al </w:t>
      </w:r>
    </w:p>
    <w:p w14:paraId="7A81D2F4" w14:textId="77777777" w:rsidR="00F53EE2" w:rsidRDefault="00AC554B">
      <w:pPr>
        <w:spacing w:after="88" w:line="259" w:lineRule="auto"/>
        <w:ind w:left="-5" w:right="78"/>
      </w:pPr>
      <w:r>
        <w:t>Giudice di verifica</w:t>
      </w:r>
      <w:r>
        <w:t>re l’accesso al conto cauzione esclusivamente il giorno della vendita;</w:t>
      </w:r>
      <w:r>
        <w:t xml:space="preserve"> </w:t>
      </w:r>
    </w:p>
    <w:p w14:paraId="6186E09C" w14:textId="77777777" w:rsidR="00F53EE2" w:rsidRDefault="00AC554B">
      <w:pPr>
        <w:numPr>
          <w:ilvl w:val="0"/>
          <w:numId w:val="2"/>
        </w:numPr>
        <w:ind w:right="78"/>
      </w:pPr>
      <w:r>
        <w:t>che sul conto denominato “cauzione” o conto B) siano depositate –</w:t>
      </w:r>
      <w:r>
        <w:t xml:space="preserve"> esclusivamente - le somme dovute a titolo di cauzione per la partecipazione alla vendita da parte degli offerenti; su questo conto il professionista delegato è tenuto ad accedere soltanto il</w:t>
      </w:r>
      <w:r>
        <w:t xml:space="preserve"> giorno della vendita, non avendo il conto in questione alcuna altra finalità se non quella di recepire le cauzioni ed è tenuto, altresì, a documentare il numero degli accessi, </w:t>
      </w:r>
      <w:r>
        <w:t xml:space="preserve">attraverso il c.d. “storico degli accessi” o “home report”, documento che deve </w:t>
      </w:r>
      <w:r>
        <w:t xml:space="preserve">essere allegato agli atti della gara, </w:t>
      </w:r>
      <w:r>
        <w:t>in ogni caso, sia se vi sia stata aggiudicazione, sia se la gara sia andata deserta; il giorno della vendita, il professionista delegato, v</w:t>
      </w:r>
      <w:r>
        <w:t>isionate le cauzioni, procederà, dopo aver individuato l’offerta cui deve esser</w:t>
      </w:r>
      <w:r>
        <w:t xml:space="preserve">e </w:t>
      </w:r>
      <w:r>
        <w:t xml:space="preserve">aggiudicata la gara, a far confluire la relativa cauzione, mediante bonifico o giroconto, sul conto rendite prezzo ( conto C), mentre procederà a restituire le cauzioni relative alle offerte cui non è seguita aggiudicazione, </w:t>
      </w:r>
      <w:r>
        <w:t>mediante un bonifico uguale e</w:t>
      </w:r>
      <w:r>
        <w:t xml:space="preserve"> contrario rispetto all’iban di provenienza; che nell’avviso di vendita sia indicato soltanto l’iban del conto cauzione;  che detto conto, al fine di garantire l’anonimato e la </w:t>
      </w:r>
      <w:r>
        <w:t>riservatezza dei dati relativi alle cauzioni versate mediante bonifico dai part</w:t>
      </w:r>
      <w:r>
        <w:t xml:space="preserve">ecipanti non sarà inizialmente collegato tramite la piattaforma Home Banking, ovvero sarà oscurato integralmente fino alla data della vendita, comunicata dal </w:t>
      </w:r>
      <w:r>
        <w:t>professionista all’istituto tramite PEC, con la quale si richiede di mettere “in chiaro” o rendere</w:t>
      </w:r>
      <w:r>
        <w:t xml:space="preserve"> visibile il conto al professionista; laddove l’istituto di credito garantisse tale modalità operativa di oscuramento e “messa in chiaro” del conto, il professionista avrà cura </w:t>
      </w:r>
      <w:r>
        <w:t xml:space="preserve">di comunicare le date in cui devono avvenire dette operazioni di </w:t>
      </w:r>
      <w:r>
        <w:t>visibilità sul</w:t>
      </w:r>
      <w:r>
        <w:t xml:space="preserve"> conto e deve altresì acquisire dall’istituto la disponibilità a redigere impegno al trattamento dei </w:t>
      </w:r>
      <w:r>
        <w:lastRenderedPageBreak/>
        <w:t xml:space="preserve">dati con il massimo grado di riservatezza possibile, pari per esempio a quella che caratterizza i conti correnti </w:t>
      </w:r>
      <w:r>
        <w:t>dei dipendenti; laddove l’istituto di cred</w:t>
      </w:r>
      <w:r>
        <w:t>ito non garantisse tale modalità operativa di oscuramento e “messa in chiaro” del conto, il professionista avrà cura di comunicare al GE la circostanza, all’esito della gara, co</w:t>
      </w:r>
      <w:r>
        <w:t xml:space="preserve">n nota da allegare allo storico degli accessi, che va in ogni caso depositato; </w:t>
      </w:r>
      <w:r>
        <w:t xml:space="preserve"> </w:t>
      </w:r>
    </w:p>
    <w:p w14:paraId="0E63B830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  </w:t>
      </w:r>
    </w:p>
    <w:p w14:paraId="229DB20D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16C4616F" w14:textId="77777777" w:rsidR="00F53EE2" w:rsidRDefault="00AC554B">
      <w:pPr>
        <w:pStyle w:val="Titolo1"/>
        <w:ind w:left="355"/>
      </w:pPr>
      <w:r>
        <w:rPr>
          <w:u w:val="none"/>
        </w:rPr>
        <w:t>5.</w:t>
      </w:r>
      <w:r>
        <w:rPr>
          <w:rFonts w:ascii="Arial" w:eastAsia="Arial" w:hAnsi="Arial" w:cs="Arial"/>
          <w:u w:val="none"/>
        </w:rPr>
        <w:t xml:space="preserve"> </w:t>
      </w:r>
      <w:r>
        <w:t>LUOGO DI SVOLGIMENTO DELLE OPERAZIONI DELEGATE</w:t>
      </w:r>
      <w:r>
        <w:rPr>
          <w:u w:val="none"/>
        </w:rPr>
        <w:t xml:space="preserve"> </w:t>
      </w:r>
    </w:p>
    <w:p w14:paraId="06DAA875" w14:textId="77777777" w:rsidR="00F53EE2" w:rsidRDefault="00AC554B">
      <w:pPr>
        <w:spacing w:after="89" w:line="259" w:lineRule="auto"/>
        <w:ind w:left="-5" w:right="0"/>
        <w:jc w:val="left"/>
      </w:pPr>
      <w:r>
        <w:t xml:space="preserve">     </w:t>
      </w:r>
      <w:r>
        <w:rPr>
          <w:b/>
        </w:rPr>
        <w:t xml:space="preserve">DISPONE: </w:t>
      </w:r>
    </w:p>
    <w:p w14:paraId="0D7D4EC6" w14:textId="77777777" w:rsidR="00F53EE2" w:rsidRDefault="00AC554B">
      <w:pPr>
        <w:numPr>
          <w:ilvl w:val="0"/>
          <w:numId w:val="3"/>
        </w:numPr>
        <w:ind w:right="75"/>
      </w:pPr>
      <w:r>
        <w:t xml:space="preserve">che la deliberazione sulle offerte e le determinazioni consequenziali abbiano luogo a cura del professionista </w:t>
      </w:r>
      <w:r>
        <w:t>in Tribunale presso l’aula dedicata alle vendite delegate;</w:t>
      </w:r>
      <w:r>
        <w:t xml:space="preserve">  </w:t>
      </w:r>
    </w:p>
    <w:p w14:paraId="1B43B33C" w14:textId="77777777" w:rsidR="00F53EE2" w:rsidRDefault="00AC554B">
      <w:pPr>
        <w:numPr>
          <w:ilvl w:val="0"/>
          <w:numId w:val="3"/>
        </w:numPr>
        <w:ind w:right="75"/>
      </w:pPr>
      <w:r>
        <w:t>che tutte le altre attività riservate per legge al cancelliere o al giud</w:t>
      </w:r>
      <w:r>
        <w:t>ice dell’esec</w:t>
      </w:r>
      <w:r>
        <w:t xml:space="preserve">uzione abbiano luogo a cura </w:t>
      </w:r>
      <w:r>
        <w:t xml:space="preserve">del delegato presso il proprio studio; </w:t>
      </w:r>
    </w:p>
    <w:p w14:paraId="0F3FCC35" w14:textId="77777777" w:rsidR="00F53EE2" w:rsidRDefault="00AC554B">
      <w:pPr>
        <w:spacing w:after="121" w:line="259" w:lineRule="auto"/>
        <w:ind w:left="360" w:right="0" w:firstLine="0"/>
        <w:jc w:val="left"/>
      </w:pPr>
      <w:r>
        <w:t xml:space="preserve"> </w:t>
      </w:r>
    </w:p>
    <w:p w14:paraId="1D89C4B4" w14:textId="77777777" w:rsidR="00F53EE2" w:rsidRDefault="00AC554B">
      <w:pPr>
        <w:pStyle w:val="Titolo1"/>
        <w:ind w:left="355"/>
      </w:pPr>
      <w:r>
        <w:rPr>
          <w:u w:val="none"/>
        </w:rPr>
        <w:t>6.</w:t>
      </w:r>
      <w:r>
        <w:rPr>
          <w:rFonts w:ascii="Arial" w:eastAsia="Arial" w:hAnsi="Arial" w:cs="Arial"/>
          <w:u w:val="none"/>
        </w:rPr>
        <w:t xml:space="preserve"> </w:t>
      </w:r>
      <w:r>
        <w:t>ISTANZE DI SOSPENSIONE</w:t>
      </w:r>
      <w:r>
        <w:rPr>
          <w:b w:val="0"/>
          <w:u w:val="none"/>
        </w:rPr>
        <w:t xml:space="preserve"> </w:t>
      </w:r>
    </w:p>
    <w:p w14:paraId="494BF0C0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 xml:space="preserve">DISPONE </w:t>
      </w:r>
      <w:r>
        <w:t>che, in caso di istanze di sospensione della vendita inoltrate direttamente al professionista delegato, questi ne riferisca immediatamente al giud</w:t>
      </w:r>
      <w:r>
        <w:t xml:space="preserve">ice e, in caso di impossibilità ovvero in mancanza per </w:t>
      </w:r>
      <w:r>
        <w:t xml:space="preserve">qualsiasi motivo di un provvedimento di sospensione del giudice, proceda egualmente all’esperimento di </w:t>
      </w:r>
      <w:r>
        <w:t>vendita;</w:t>
      </w:r>
      <w:r>
        <w:rPr>
          <w:b/>
        </w:rPr>
        <w:t xml:space="preserve"> </w:t>
      </w:r>
    </w:p>
    <w:p w14:paraId="015FDAE8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555DB200" w14:textId="77777777" w:rsidR="00F53EE2" w:rsidRDefault="00AC554B">
      <w:pPr>
        <w:pStyle w:val="Titolo1"/>
        <w:ind w:left="355"/>
      </w:pPr>
      <w:r>
        <w:rPr>
          <w:u w:val="none"/>
        </w:rPr>
        <w:t>7.</w:t>
      </w:r>
      <w:r>
        <w:rPr>
          <w:rFonts w:ascii="Arial" w:eastAsia="Arial" w:hAnsi="Arial" w:cs="Arial"/>
          <w:u w:val="none"/>
        </w:rPr>
        <w:t xml:space="preserve"> </w:t>
      </w:r>
      <w:r>
        <w:t>ESITO NEGATIVO DELLA VENDITA</w:t>
      </w:r>
      <w:r>
        <w:rPr>
          <w:u w:val="none"/>
        </w:rPr>
        <w:t xml:space="preserve"> </w:t>
      </w:r>
    </w:p>
    <w:p w14:paraId="06827AED" w14:textId="77777777" w:rsidR="00F53EE2" w:rsidRDefault="00AC554B">
      <w:pPr>
        <w:spacing w:line="354" w:lineRule="auto"/>
        <w:ind w:left="-5" w:right="78"/>
      </w:pPr>
      <w:r>
        <w:t xml:space="preserve">       </w:t>
      </w:r>
      <w:r>
        <w:t>In virtù del principio di “continuità della de</w:t>
      </w:r>
      <w:r>
        <w:t xml:space="preserve">lega” il professionista è investito del potere di compiere in sequenza tutte le operazioni di vendita necessarie fino all’effettivo trasferimento del bene, salvo che non ritenga </w:t>
      </w:r>
      <w:r>
        <w:t>egli stesso inutile proseguire nelle operazioni e fermo restando il potere del</w:t>
      </w:r>
      <w:r>
        <w:t xml:space="preserve"> giudice di sospendere la vendita ex art. 586, comma 1, c.p.c      </w:t>
      </w:r>
      <w:r>
        <w:rPr>
          <w:b/>
        </w:rPr>
        <w:t xml:space="preserve">DISPONE: </w:t>
      </w:r>
    </w:p>
    <w:p w14:paraId="56B29BA1" w14:textId="77777777" w:rsidR="00F53EE2" w:rsidRDefault="00AC554B">
      <w:pPr>
        <w:numPr>
          <w:ilvl w:val="0"/>
          <w:numId w:val="4"/>
        </w:numPr>
        <w:spacing w:line="354" w:lineRule="auto"/>
        <w:ind w:right="77"/>
      </w:pPr>
      <w:r>
        <w:t xml:space="preserve">che, nell’ipotesi in cui la vendita non abbia esito positivo, il professionista delegato proceda ad ulteriori vendite ai sensi dell’art. 591, secondo comma, c.p.c., ribassando il </w:t>
      </w:r>
      <w:r>
        <w:t xml:space="preserve">valore d’asta/prezzo di riferimento ogni </w:t>
      </w:r>
      <w:r>
        <w:t xml:space="preserve">volta di un quarto fino ad un massimo di </w:t>
      </w:r>
      <w:r>
        <w:rPr>
          <w:b/>
        </w:rPr>
        <w:t>TRE RIBASSI</w:t>
      </w:r>
      <w:r>
        <w:t xml:space="preserve">; </w:t>
      </w:r>
    </w:p>
    <w:p w14:paraId="1D095EE9" w14:textId="77777777" w:rsidR="00F53EE2" w:rsidRDefault="00AC554B">
      <w:pPr>
        <w:numPr>
          <w:ilvl w:val="0"/>
          <w:numId w:val="4"/>
        </w:numPr>
        <w:ind w:right="77"/>
      </w:pPr>
      <w:r>
        <w:t xml:space="preserve">che, nell’ipotesi di esito negativo della vendita pur a seguito dei detti ribassi, il professionista delegato </w:t>
      </w:r>
      <w:r>
        <w:t xml:space="preserve">inoltri relazione congiunta con il custode giudiziario contenente TUTTE le seguenti informazioni (e secondo </w:t>
      </w:r>
      <w:r>
        <w:t xml:space="preserve">l’ordine di seguito indicato): </w:t>
      </w:r>
      <w:r>
        <w:rPr>
          <w:b/>
        </w:rPr>
        <w:t>descriz</w:t>
      </w:r>
      <w:r>
        <w:rPr>
          <w:b/>
        </w:rPr>
        <w:t>ione del lotto</w:t>
      </w:r>
      <w:r>
        <w:t xml:space="preserve">; </w:t>
      </w:r>
      <w:r>
        <w:rPr>
          <w:b/>
        </w:rPr>
        <w:t>cronistoria dei tentativi di vendita</w:t>
      </w:r>
      <w:r>
        <w:t xml:space="preserve"> (con indicazione delle date e dei prezzi); </w:t>
      </w:r>
      <w:r>
        <w:rPr>
          <w:b/>
        </w:rPr>
        <w:t>stato di occupazione del lotto</w:t>
      </w:r>
      <w:r>
        <w:t xml:space="preserve"> (con indicazione anche mutamenti medio tempore intervenuti rispetto al primo accesso) </w:t>
      </w:r>
      <w:r>
        <w:rPr>
          <w:b/>
        </w:rPr>
        <w:t>e cronistoria dell’eventuale attività di li</w:t>
      </w:r>
      <w:r>
        <w:rPr>
          <w:b/>
        </w:rPr>
        <w:t>berazione</w:t>
      </w:r>
      <w:r>
        <w:t xml:space="preserve">; </w:t>
      </w:r>
      <w:r>
        <w:rPr>
          <w:b/>
        </w:rPr>
        <w:t>considerazioni finali sull’opportunità del prosieguo con indicazione di ogni informazione utile al riguardo</w:t>
      </w:r>
      <w:r>
        <w:t>, tra cui si indicano a titolo meramente esemplificativo: stima originaria eccessiva da parte del perito; immobile privo di segmento di mercato o comunque non appetibile (ad esempio: rudere; immobile abbandonato; terreno non agevolmente raggiungibile; terr</w:t>
      </w:r>
      <w:r>
        <w:t xml:space="preserve">eno agricolo non appetibile; ecc.); fattori esterni (immobile ubicato in aree depresse e/o </w:t>
      </w:r>
      <w:r>
        <w:t xml:space="preserve">degradate; immobile ubicato in contesto familiare dell’esecutato; onere di costituzione o sottoposizione a servitù </w:t>
      </w:r>
      <w:r>
        <w:t>prediali; procedimenti giudiziari civili, penali e</w:t>
      </w:r>
      <w:r>
        <w:t xml:space="preserve">d amministrativi pendenti in relazione al bene; immobile sottoposto ad ordine di demolizione da parte della P.A.; ecc.); assenza e/o presenza di richieste di visita da parte di potenziali acquirenti; situazioni temporanee di assenza di domanda di mercato; </w:t>
      </w:r>
      <w:r>
        <w:t xml:space="preserve">opportunità di diversa formulazione dei lotti. </w:t>
      </w:r>
    </w:p>
    <w:p w14:paraId="0B8AC7F2" w14:textId="77777777" w:rsidR="00F53EE2" w:rsidRDefault="00AC55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254456" w14:textId="77777777" w:rsidR="00F53EE2" w:rsidRDefault="00AC554B">
      <w:pPr>
        <w:spacing w:after="87" w:line="259" w:lineRule="auto"/>
        <w:ind w:left="-5" w:right="78"/>
      </w:pPr>
      <w:r>
        <w:t xml:space="preserve">     </w:t>
      </w:r>
      <w:r>
        <w:t xml:space="preserve">Il giudice dell’esecuzione, dott. </w:t>
      </w:r>
      <w:r>
        <w:t xml:space="preserve">Linda  Catagna, </w:t>
      </w:r>
    </w:p>
    <w:p w14:paraId="3EBB84A3" w14:textId="77777777" w:rsidR="00F53EE2" w:rsidRDefault="00AC554B">
      <w:pPr>
        <w:spacing w:after="36" w:line="354" w:lineRule="auto"/>
        <w:ind w:left="-5" w:right="78"/>
      </w:pPr>
      <w:r>
        <w:t xml:space="preserve">     </w:t>
      </w:r>
      <w:r>
        <w:rPr>
          <w:b/>
        </w:rPr>
        <w:t xml:space="preserve">DISPONE </w:t>
      </w:r>
      <w:r>
        <w:t xml:space="preserve">che il professionista espleti le operazioni delegate e rediga l’avviso di vendita attenendosi alle </w:t>
      </w:r>
      <w:r>
        <w:t>seguenti prescrizioni:</w:t>
      </w:r>
      <w:r>
        <w:rPr>
          <w:b/>
        </w:rPr>
        <w:t xml:space="preserve"> </w:t>
      </w:r>
    </w:p>
    <w:p w14:paraId="3ADC428C" w14:textId="77777777" w:rsidR="00F53EE2" w:rsidRDefault="00AC554B">
      <w:pPr>
        <w:pStyle w:val="Titolo1"/>
        <w:ind w:left="355"/>
      </w:pPr>
      <w:r>
        <w:rPr>
          <w:u w:val="none"/>
        </w:rPr>
        <w:lastRenderedPageBreak/>
        <w:t>1.</w:t>
      </w:r>
      <w:r>
        <w:rPr>
          <w:rFonts w:ascii="Arial" w:eastAsia="Arial" w:hAnsi="Arial" w:cs="Arial"/>
          <w:u w:val="none"/>
        </w:rPr>
        <w:t xml:space="preserve"> </w:t>
      </w:r>
      <w:r>
        <w:t xml:space="preserve">CONDIZIONI </w:t>
      </w:r>
      <w:r>
        <w:t>GENERALI DELLA VENDITA</w:t>
      </w:r>
      <w:r>
        <w:rPr>
          <w:u w:val="none"/>
        </w:rPr>
        <w:t xml:space="preserve"> </w:t>
      </w:r>
    </w:p>
    <w:p w14:paraId="2EF1CCD4" w14:textId="77777777" w:rsidR="00F53EE2" w:rsidRDefault="00AC554B">
      <w:pPr>
        <w:spacing w:after="3" w:line="259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Avviso di vendita</w:t>
      </w:r>
      <w:r>
        <w:rPr>
          <w:b/>
        </w:rPr>
        <w:t xml:space="preserve"> </w:t>
      </w:r>
    </w:p>
    <w:p w14:paraId="0D4B9DF0" w14:textId="77777777" w:rsidR="00F53EE2" w:rsidRDefault="00AC554B">
      <w:pPr>
        <w:spacing w:after="89" w:line="259" w:lineRule="auto"/>
        <w:ind w:left="298" w:right="0"/>
        <w:jc w:val="left"/>
      </w:pPr>
      <w:r>
        <w:rPr>
          <w:b/>
        </w:rPr>
        <w:t xml:space="preserve">DISPONE: </w:t>
      </w:r>
    </w:p>
    <w:p w14:paraId="28F6A727" w14:textId="77777777" w:rsidR="00F53EE2" w:rsidRDefault="00AC554B">
      <w:pPr>
        <w:numPr>
          <w:ilvl w:val="0"/>
          <w:numId w:val="5"/>
        </w:numPr>
        <w:spacing w:line="354" w:lineRule="auto"/>
        <w:ind w:right="78" w:hanging="130"/>
      </w:pPr>
      <w:r>
        <w:t>che il professionista delegato inserisca nell’avviso di vendita la descrizione del/i bene/i oggetto della vendita ed indichi sempre separatamente sia il “valore d’asta/prezzo di riferimento”, sia la</w:t>
      </w:r>
      <w:r>
        <w:t xml:space="preserve"> c.d. “offerta minima”</w:t>
      </w:r>
      <w:r>
        <w:t xml:space="preserve"> </w:t>
      </w:r>
      <w:r>
        <w:t xml:space="preserve">per l’aggiudicazione (offerta corrispondente al 75% del valore d’asta e da indicare comunque numericamente e </w:t>
      </w:r>
      <w:r>
        <w:t xml:space="preserve">non con la mera indicazione della detta percentuale); </w:t>
      </w:r>
    </w:p>
    <w:p w14:paraId="19774808" w14:textId="77777777" w:rsidR="00F53EE2" w:rsidRDefault="00AC554B">
      <w:pPr>
        <w:numPr>
          <w:ilvl w:val="0"/>
          <w:numId w:val="5"/>
        </w:numPr>
        <w:spacing w:after="133" w:line="259" w:lineRule="auto"/>
        <w:ind w:right="78" w:hanging="130"/>
      </w:pPr>
      <w:r>
        <w:t>che il professionista delegato indichi nell’avviso di vendita:</w:t>
      </w:r>
      <w:r>
        <w:t xml:space="preserve"> </w:t>
      </w:r>
    </w:p>
    <w:p w14:paraId="10130B9D" w14:textId="77777777" w:rsidR="00F53EE2" w:rsidRDefault="00AC554B">
      <w:pPr>
        <w:numPr>
          <w:ilvl w:val="0"/>
          <w:numId w:val="6"/>
        </w:numPr>
        <w:spacing w:after="18" w:line="358" w:lineRule="auto"/>
        <w:ind w:right="75" w:hanging="360"/>
      </w:pPr>
      <w:r>
        <w:t>in pr</w:t>
      </w:r>
      <w:r>
        <w:t>imo luogo, il</w:t>
      </w:r>
      <w:r>
        <w:rPr>
          <w:b/>
        </w:rPr>
        <w:t xml:space="preserve"> TERMINE PER LA FORMULAZIONE DELLE OFFERTE e LA DATA DELLA VENDITA</w:t>
      </w:r>
      <w:r>
        <w:t xml:space="preserve">. </w:t>
      </w:r>
    </w:p>
    <w:p w14:paraId="45B13C0F" w14:textId="77777777" w:rsidR="00F53EE2" w:rsidRDefault="00AC554B">
      <w:pPr>
        <w:tabs>
          <w:tab w:val="center" w:pos="1399"/>
        </w:tabs>
        <w:spacing w:after="107" w:line="259" w:lineRule="auto"/>
        <w:ind w:left="-15" w:right="0" w:firstLine="0"/>
        <w:jc w:val="left"/>
      </w:pPr>
      <w:r>
        <w:t xml:space="preserve">      </w:t>
      </w:r>
      <w:r>
        <w:tab/>
        <w:t xml:space="preserve">PRECISAZIONI: </w:t>
      </w:r>
    </w:p>
    <w:p w14:paraId="3B59E3DD" w14:textId="77777777" w:rsidR="00F53EE2" w:rsidRDefault="00AC554B">
      <w:pPr>
        <w:tabs>
          <w:tab w:val="center" w:pos="4273"/>
        </w:tabs>
        <w:spacing w:after="89" w:line="259" w:lineRule="auto"/>
        <w:ind w:left="-15" w:right="0" w:firstLine="0"/>
        <w:jc w:val="left"/>
      </w:pPr>
      <w:r>
        <w:t xml:space="preserve">      </w:t>
      </w:r>
      <w:r>
        <w:tab/>
      </w:r>
      <w:r>
        <w:t xml:space="preserve">il professionista indicherà il termine per la formulazione delle offerte a data fissa; </w:t>
      </w:r>
    </w:p>
    <w:p w14:paraId="02877C04" w14:textId="77777777" w:rsidR="00F53EE2" w:rsidRDefault="00AC554B">
      <w:pPr>
        <w:spacing w:after="40"/>
        <w:ind w:left="718" w:right="75"/>
      </w:pPr>
      <w:r>
        <w:t xml:space="preserve">il professionista indicherà la data della vendita nel giorno immediatamente successivo alla scadenza </w:t>
      </w:r>
      <w:r>
        <w:t>del termine sopra indicato (con specificazione anche dell’ora ed in</w:t>
      </w:r>
      <w:r>
        <w:t xml:space="preserve"> ogni caso fissando un orario </w:t>
      </w:r>
      <w:r>
        <w:t>successivo alle 11.00) e preciserà che, in tale data, si procederà alla verifica preliminare di ammissibilità delle offerte ed alla d</w:t>
      </w:r>
      <w:r>
        <w:t xml:space="preserve">eliberazione sulle medesime e, eventualmente, all’avvio della gara </w:t>
      </w:r>
      <w:r>
        <w:t>con le modalità telematich</w:t>
      </w:r>
      <w:r>
        <w:t xml:space="preserve">e indicate nel prosieguo della presente ordinanza; </w:t>
      </w:r>
    </w:p>
    <w:p w14:paraId="22AD5A0E" w14:textId="77777777" w:rsidR="00F53EE2" w:rsidRDefault="00AC554B">
      <w:pPr>
        <w:numPr>
          <w:ilvl w:val="0"/>
          <w:numId w:val="6"/>
        </w:numPr>
        <w:spacing w:after="40"/>
        <w:ind w:right="75" w:hanging="360"/>
      </w:pPr>
      <w:r>
        <w:t xml:space="preserve">in secondo luogo, che </w:t>
      </w:r>
      <w:r>
        <w:t>–</w:t>
      </w:r>
      <w:r>
        <w:t xml:space="preserve"> in caso di plurime offerte ammissibili </w:t>
      </w:r>
      <w:r>
        <w:t>–</w:t>
      </w:r>
      <w:r>
        <w:t xml:space="preserve"> la gara avrà luogo nella forma della </w:t>
      </w:r>
      <w:r>
        <w:rPr>
          <w:b/>
        </w:rPr>
        <w:t xml:space="preserve">VENDITA ASINCRONA </w:t>
      </w:r>
      <w:r>
        <w:t xml:space="preserve">con le modalità telematiche indicate nel prosieguo della presente ordinanza;  </w:t>
      </w:r>
    </w:p>
    <w:p w14:paraId="6F649231" w14:textId="77777777" w:rsidR="00F53EE2" w:rsidRDefault="00AC554B">
      <w:pPr>
        <w:numPr>
          <w:ilvl w:val="0"/>
          <w:numId w:val="6"/>
        </w:numPr>
        <w:spacing w:after="60" w:line="259" w:lineRule="auto"/>
        <w:ind w:right="75" w:hanging="360"/>
      </w:pPr>
      <w:r>
        <w:t>in te</w:t>
      </w:r>
      <w:r>
        <w:t>rzo luogo e per l’ipotesi di avvio della gara tra più offerenti:</w:t>
      </w:r>
      <w:r>
        <w:t xml:space="preserve"> </w:t>
      </w:r>
    </w:p>
    <w:p w14:paraId="0049611C" w14:textId="77777777" w:rsidR="00F53EE2" w:rsidRDefault="00AC554B">
      <w:pPr>
        <w:spacing w:after="87" w:line="259" w:lineRule="auto"/>
        <w:ind w:left="0" w:right="82" w:firstLine="0"/>
        <w:jc w:val="right"/>
      </w:pPr>
      <w:r>
        <w:t xml:space="preserve">il </w:t>
      </w:r>
      <w:r>
        <w:rPr>
          <w:b/>
        </w:rPr>
        <w:t>TERMINE DI SVOLGIMENTO DELL’EVENTUALE GARA TRA GLI OFFERENTI</w:t>
      </w:r>
      <w:r>
        <w:t xml:space="preserve"> (ovverosia, il </w:t>
      </w:r>
    </w:p>
    <w:p w14:paraId="1A1F13AA" w14:textId="77777777" w:rsidR="00F53EE2" w:rsidRDefault="00AC554B">
      <w:pPr>
        <w:ind w:left="730" w:right="75"/>
      </w:pPr>
      <w:r>
        <w:t>termine entro il quale gli offerenti potranno formulare offerte in rilancio con le modalità telematiche indica</w:t>
      </w:r>
      <w:r>
        <w:t xml:space="preserve">te nel prosieguo della presente ordinanza); </w:t>
      </w:r>
    </w:p>
    <w:p w14:paraId="354225D8" w14:textId="77777777" w:rsidR="00F53EE2" w:rsidRDefault="00AC554B">
      <w:pPr>
        <w:ind w:left="730" w:right="75"/>
      </w:pPr>
      <w:r>
        <w:t xml:space="preserve">la </w:t>
      </w:r>
      <w:r>
        <w:rPr>
          <w:b/>
        </w:rPr>
        <w:t>DATA PER LE DETERMINAZIONI FINALI SULLE OFFERTE</w:t>
      </w:r>
      <w:r>
        <w:t xml:space="preserve"> (coincidente con il giorno successivo alla scadenza del termine per lo svolgimento della gara tra gli offerenti);  </w:t>
      </w:r>
    </w:p>
    <w:p w14:paraId="45B2A372" w14:textId="77777777" w:rsidR="00F53EE2" w:rsidRDefault="00AC554B">
      <w:pPr>
        <w:spacing w:after="87" w:line="259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Cauzione</w:t>
      </w:r>
      <w:r>
        <w:t xml:space="preserve"> </w:t>
      </w:r>
    </w:p>
    <w:p w14:paraId="71351F82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 xml:space="preserve">DISPONE </w:t>
      </w:r>
      <w:r>
        <w:t xml:space="preserve">che l’offerente </w:t>
      </w:r>
      <w:r>
        <w:t>versi –</w:t>
      </w:r>
      <w:r>
        <w:t xml:space="preserve"> con le modalità telematiche di seguito indicate </w:t>
      </w:r>
      <w:r>
        <w:t>–</w:t>
      </w:r>
      <w:r>
        <w:t xml:space="preserve"> una somma pari al </w:t>
      </w:r>
      <w:r>
        <w:rPr>
          <w:b/>
        </w:rPr>
        <w:t>dieci per cento (10%) del prezzo offerto</w:t>
      </w:r>
      <w:r>
        <w:t xml:space="preserve">, a titolo di cauzione, che sarà in ogni caso trattenuta in caso di rifiuto </w:t>
      </w:r>
      <w:r>
        <w:t>dell’acquisto;</w:t>
      </w:r>
      <w:r>
        <w:rPr>
          <w:b/>
        </w:rPr>
        <w:t xml:space="preserve"> </w:t>
      </w:r>
    </w:p>
    <w:p w14:paraId="1E06A8ED" w14:textId="77777777" w:rsidR="00F53EE2" w:rsidRDefault="00AC554B">
      <w:pPr>
        <w:spacing w:after="3" w:line="358" w:lineRule="auto"/>
        <w:ind w:left="-5" w:right="3374"/>
      </w:pPr>
      <w:r>
        <w:t xml:space="preserve">     </w:t>
      </w:r>
      <w:r>
        <w:rPr>
          <w:b/>
          <w:i/>
          <w:u w:val="single" w:color="000000"/>
        </w:rPr>
        <w:t>Verifica di ammissibilità e deliberazione sulle offerte</w:t>
      </w:r>
      <w:r>
        <w:rPr>
          <w:i/>
        </w:rPr>
        <w:t xml:space="preserve"> </w:t>
      </w:r>
      <w:r>
        <w:t xml:space="preserve">     </w:t>
      </w:r>
      <w:r>
        <w:rPr>
          <w:b/>
        </w:rPr>
        <w:t xml:space="preserve">DISPONE: </w:t>
      </w:r>
    </w:p>
    <w:p w14:paraId="008B58C1" w14:textId="77777777" w:rsidR="00F53EE2" w:rsidRDefault="00AC554B">
      <w:pPr>
        <w:spacing w:line="354" w:lineRule="auto"/>
        <w:ind w:left="-5" w:right="78"/>
      </w:pPr>
      <w:r>
        <w:t xml:space="preserve">     - </w:t>
      </w:r>
      <w:r>
        <w:t xml:space="preserve">che il professionista verifichi preliminarmente l’ammissibilità delle offerte in conformità alle prescrizioni </w:t>
      </w:r>
      <w:r>
        <w:t xml:space="preserve">generali degli artt. 571 e seguenti c.p.c. e delle prescrizioni speciali contenute nella presente ordinanza;        - </w:t>
      </w:r>
      <w:r>
        <w:t>che, all’esito della verific</w:t>
      </w:r>
      <w:r>
        <w:t>a sull’ammissibilità delle offerte, il professionista proceda come segue:</w:t>
      </w:r>
      <w:r>
        <w:t xml:space="preserve">      </w:t>
      </w:r>
      <w:r>
        <w:rPr>
          <w:u w:val="single" w:color="000000"/>
        </w:rPr>
        <w:t>nell’ipotesi di presentazione di UNICA OFFERTA AMM</w:t>
      </w:r>
      <w:r>
        <w:rPr>
          <w:u w:val="single" w:color="000000"/>
        </w:rPr>
        <w:t>ISSIBILE:</w:t>
      </w:r>
      <w:r>
        <w:t xml:space="preserve"> </w:t>
      </w:r>
    </w:p>
    <w:p w14:paraId="7CD8909E" w14:textId="77777777" w:rsidR="00F53EE2" w:rsidRDefault="00AC554B">
      <w:pPr>
        <w:numPr>
          <w:ilvl w:val="0"/>
          <w:numId w:val="7"/>
        </w:numPr>
        <w:spacing w:line="354" w:lineRule="auto"/>
        <w:ind w:right="78"/>
      </w:pPr>
      <w:r>
        <w:t>se l’offerta sia pari o superiore al “valore d’asta/prezzo di riferimento” indicato nell’avviso di vendita, l’offert</w:t>
      </w:r>
      <w:r>
        <w:t>a sia accolta ed il bene aggiudicato all’offerente;</w:t>
      </w:r>
      <w:r>
        <w:t xml:space="preserve"> </w:t>
      </w:r>
    </w:p>
    <w:p w14:paraId="1B30F98F" w14:textId="77777777" w:rsidR="00F53EE2" w:rsidRDefault="00AC554B">
      <w:pPr>
        <w:numPr>
          <w:ilvl w:val="0"/>
          <w:numId w:val="7"/>
        </w:numPr>
        <w:spacing w:after="49" w:line="354" w:lineRule="auto"/>
        <w:ind w:right="78"/>
      </w:pPr>
      <w:r>
        <w:t>se l’offerta sia inferiore al “valore d’asta/prezzo di riferimento” indicato nell’avviso di vendita (ovviamente, nei limiti di ammissibilità dell’offerta), l’offerta sia accolta ed il bene aggiudicato al</w:t>
      </w:r>
      <w:r>
        <w:t>l’offerente salvo che:</w:t>
      </w:r>
      <w:r>
        <w:t xml:space="preserve"> </w:t>
      </w:r>
    </w:p>
    <w:p w14:paraId="40E2A137" w14:textId="77777777" w:rsidR="00F53EE2" w:rsidRDefault="00AC554B">
      <w:pPr>
        <w:numPr>
          <w:ilvl w:val="0"/>
          <w:numId w:val="8"/>
        </w:numPr>
        <w:spacing w:after="40"/>
        <w:ind w:right="75" w:hanging="360"/>
      </w:pPr>
      <w:r>
        <w:t xml:space="preserve">in primo luogo, il professionista ritenga che vi sia seria possibilità di conseguire un prezzo superiore </w:t>
      </w:r>
      <w:r>
        <w:t xml:space="preserve">con una nuova vendita in ragione dell’esistenza di circostanze specifiche e concrete (da indicarsi in </w:t>
      </w:r>
      <w:r>
        <w:t>ogni caso espressamente n</w:t>
      </w:r>
      <w:r>
        <w:t xml:space="preserve">el verbale); </w:t>
      </w:r>
    </w:p>
    <w:p w14:paraId="514F92A5" w14:textId="77777777" w:rsidR="00F53EE2" w:rsidRDefault="00AC554B">
      <w:pPr>
        <w:numPr>
          <w:ilvl w:val="0"/>
          <w:numId w:val="8"/>
        </w:numPr>
        <w:ind w:right="75" w:hanging="360"/>
      </w:pPr>
      <w:r>
        <w:lastRenderedPageBreak/>
        <w:t xml:space="preserve">in secondo luogo, siano state presentate istanze di assegnazione ai sensi degli artt. 588 e 589 c.p.c.      Nel primo caso, il professionista pronuncerà nuovo avviso di vendita e comunicherà la circostanza al giudice </w:t>
      </w:r>
      <w:r>
        <w:t>dell’esecuzione.</w:t>
      </w:r>
      <w:r>
        <w:t xml:space="preserve"> </w:t>
      </w:r>
    </w:p>
    <w:p w14:paraId="74B9B1B5" w14:textId="77777777" w:rsidR="00F53EE2" w:rsidRDefault="00AC554B">
      <w:pPr>
        <w:spacing w:line="354" w:lineRule="auto"/>
        <w:ind w:left="-5" w:right="78"/>
      </w:pPr>
      <w:r>
        <w:t xml:space="preserve">     </w:t>
      </w:r>
      <w:r>
        <w:t>Ne</w:t>
      </w:r>
      <w:r>
        <w:t xml:space="preserve">l secondo caso, il professionista procederà alla delibazione dell’istanza di assegnazione ed agli </w:t>
      </w:r>
      <w:r>
        <w:t xml:space="preserve">adempimenti consequenziali;        </w:t>
      </w:r>
      <w:r>
        <w:rPr>
          <w:u w:val="single" w:color="000000"/>
        </w:rPr>
        <w:t>nell’ipotesi di presentazione di PIU’ OFFERTE AMMISSIBILI:</w:t>
      </w:r>
      <w:r>
        <w:t xml:space="preserve"> </w:t>
      </w:r>
    </w:p>
    <w:p w14:paraId="12E370EE" w14:textId="77777777" w:rsidR="00F53EE2" w:rsidRDefault="00AC554B">
      <w:pPr>
        <w:numPr>
          <w:ilvl w:val="0"/>
          <w:numId w:val="9"/>
        </w:numPr>
        <w:ind w:right="77"/>
      </w:pPr>
      <w:r>
        <w:t>il professionista procederà anzitutto ad avviare la gara tra gl</w:t>
      </w:r>
      <w:r>
        <w:t>i offerenti (che avrà luogo con le modalità telematiche indicate nel prosieguo della presente ordinanza);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</w:t>
      </w:r>
    </w:p>
    <w:p w14:paraId="3A701DD2" w14:textId="77777777" w:rsidR="00F53EE2" w:rsidRDefault="00AC554B">
      <w:pPr>
        <w:numPr>
          <w:ilvl w:val="0"/>
          <w:numId w:val="9"/>
        </w:numPr>
        <w:spacing w:after="49" w:line="354" w:lineRule="auto"/>
        <w:ind w:right="77"/>
      </w:pPr>
      <w:r>
        <w:t>all’esito della scadenza del termine di svolgimento della gara tra gli offerenti il professionista procederà a verificare l’eventuale formulazione d</w:t>
      </w:r>
      <w:r>
        <w:t xml:space="preserve">i rilanci ed alle determinazioni sull’aggiudicazione nei seguenti termini: </w:t>
      </w:r>
      <w:r>
        <w:t xml:space="preserve">      il professionista individuerà la migliore offerta tenendo conto </w:t>
      </w:r>
      <w:r>
        <w:t>–</w:t>
      </w:r>
      <w:r>
        <w:t xml:space="preserve"> </w:t>
      </w:r>
      <w:r>
        <w:t>nell’ordine di seguito indicato –</w:t>
      </w:r>
      <w:r>
        <w:t xml:space="preserve"> dei seguenti elementi: </w:t>
      </w:r>
    </w:p>
    <w:p w14:paraId="7A34E670" w14:textId="77777777" w:rsidR="00F53EE2" w:rsidRDefault="00AC554B">
      <w:pPr>
        <w:numPr>
          <w:ilvl w:val="0"/>
          <w:numId w:val="10"/>
        </w:numPr>
        <w:spacing w:after="106" w:line="259" w:lineRule="auto"/>
        <w:ind w:right="77" w:hanging="360"/>
      </w:pPr>
      <w:r>
        <w:t xml:space="preserve">maggior importo del prezzo offerto; </w:t>
      </w:r>
    </w:p>
    <w:p w14:paraId="5A795F21" w14:textId="77777777" w:rsidR="00F53EE2" w:rsidRDefault="00AC554B">
      <w:pPr>
        <w:numPr>
          <w:ilvl w:val="0"/>
          <w:numId w:val="10"/>
        </w:numPr>
        <w:spacing w:after="104" w:line="259" w:lineRule="auto"/>
        <w:ind w:right="77" w:hanging="360"/>
      </w:pPr>
      <w:r>
        <w:t>a parità di pr</w:t>
      </w:r>
      <w:r>
        <w:t xml:space="preserve">ezzo offerto, maggior importo della cauzione prestata; </w:t>
      </w:r>
    </w:p>
    <w:p w14:paraId="7D436C58" w14:textId="77777777" w:rsidR="00F53EE2" w:rsidRDefault="00AC554B">
      <w:pPr>
        <w:numPr>
          <w:ilvl w:val="0"/>
          <w:numId w:val="10"/>
        </w:numPr>
        <w:spacing w:after="106" w:line="259" w:lineRule="auto"/>
        <w:ind w:right="77" w:hanging="360"/>
      </w:pPr>
      <w:r>
        <w:t xml:space="preserve">a parità altresì di cauzione prestata, minor termine indicato per il versamento del prezzo; </w:t>
      </w:r>
    </w:p>
    <w:p w14:paraId="1EA079BC" w14:textId="77777777" w:rsidR="00F53EE2" w:rsidRDefault="00AC554B">
      <w:pPr>
        <w:numPr>
          <w:ilvl w:val="0"/>
          <w:numId w:val="10"/>
        </w:numPr>
        <w:spacing w:after="49" w:line="354" w:lineRule="auto"/>
        <w:ind w:right="77" w:hanging="360"/>
      </w:pPr>
      <w:r>
        <w:t>a parità altresì di termine per il versamento del prezzo, priorità temporale nel deposito dell’offerta;</w:t>
      </w:r>
      <w:r>
        <w:t xml:space="preserve"> c) il professionista procederà infine come segue: </w:t>
      </w:r>
    </w:p>
    <w:p w14:paraId="0D6AEE40" w14:textId="77777777" w:rsidR="00F53EE2" w:rsidRDefault="00AC554B">
      <w:pPr>
        <w:numPr>
          <w:ilvl w:val="0"/>
          <w:numId w:val="10"/>
        </w:numPr>
        <w:spacing w:after="49" w:line="354" w:lineRule="auto"/>
        <w:ind w:right="77" w:hanging="360"/>
      </w:pPr>
      <w:r>
        <w:t>qualora il miglior prezzo offerto all’esito della gara o comunque il miglior prezzo risultante all’es</w:t>
      </w:r>
      <w:r>
        <w:t xml:space="preserve">ito dell’avvio della stessa (e ciò anche nel caso in cui non siano formulate offerte in aumento) sia pari o superiore al “valore d’asta/prezzo di riferimento” indicato nell’avviso di vendita, il bene sarà </w:t>
      </w:r>
      <w:r>
        <w:t>aggiudicato al miglior offerente come sopra individ</w:t>
      </w:r>
      <w:r>
        <w:t xml:space="preserve">uato; </w:t>
      </w:r>
    </w:p>
    <w:p w14:paraId="5A42D5A1" w14:textId="77777777" w:rsidR="00F53EE2" w:rsidRDefault="00AC554B">
      <w:pPr>
        <w:numPr>
          <w:ilvl w:val="0"/>
          <w:numId w:val="10"/>
        </w:numPr>
        <w:spacing w:line="354" w:lineRule="auto"/>
        <w:ind w:right="77" w:hanging="360"/>
      </w:pPr>
      <w:r>
        <w:t>qualora il miglior prezzo offerto all’esito della gara o comunque il miglior prezzo risultante all’esito dell’avvio della stessa (e ciò anche nel caso in cui non siano formulate offerte in aumento) sia inferior</w:t>
      </w:r>
      <w:r>
        <w:t xml:space="preserve">e </w:t>
      </w:r>
      <w:r>
        <w:t>al “valore d’asta/prezzo di riferimen</w:t>
      </w:r>
      <w:r>
        <w:t>to” indicato nell’avviso di vendita e siano state presentate istanze di assegnazione, il professionista non darà luogo all’aggiudicazione e procederà alla delibazione dell’istanza di assegnazione ed agli adempimenti c</w:t>
      </w:r>
      <w:r>
        <w:t xml:space="preserve">onsequenziali;      </w:t>
      </w:r>
      <w:r>
        <w:rPr>
          <w:b/>
          <w:i/>
          <w:u w:val="single" w:color="000000"/>
        </w:rPr>
        <w:t>Saldo prezzo</w:t>
      </w:r>
      <w:r>
        <w:t xml:space="preserve">      </w:t>
      </w:r>
      <w:r>
        <w:rPr>
          <w:b/>
        </w:rPr>
        <w:t>DISPONE</w:t>
      </w:r>
      <w:r>
        <w:t xml:space="preserve">: </w:t>
      </w:r>
    </w:p>
    <w:p w14:paraId="510A6D29" w14:textId="77777777" w:rsidR="00F53EE2" w:rsidRDefault="00AC554B">
      <w:pPr>
        <w:numPr>
          <w:ilvl w:val="0"/>
          <w:numId w:val="11"/>
        </w:numPr>
        <w:ind w:right="75" w:hanging="130"/>
      </w:pPr>
      <w:r>
        <w:t xml:space="preserve">che il versamento del saldo del prezzo debba aver luogo entro il termine indicato in offerta oppure nel caso </w:t>
      </w:r>
      <w:r>
        <w:t>nell’offerta non sia indicato un termine o nel caso nell’offerta sia indicato un termine supe</w:t>
      </w:r>
      <w:r>
        <w:t>riore rispetto a quello di seguito ind</w:t>
      </w:r>
      <w:r>
        <w:t xml:space="preserve">icato, entro il </w:t>
      </w:r>
      <w:r>
        <w:rPr>
          <w:b/>
        </w:rPr>
        <w:t xml:space="preserve">termine onnicomprensivo di 120 giorni dall’aggiudicazione. </w:t>
      </w:r>
    </w:p>
    <w:p w14:paraId="180A9869" w14:textId="77777777" w:rsidR="00F53EE2" w:rsidRDefault="00AC554B">
      <w:pPr>
        <w:numPr>
          <w:ilvl w:val="0"/>
          <w:numId w:val="11"/>
        </w:numPr>
        <w:ind w:right="75" w:hanging="130"/>
      </w:pPr>
      <w:r>
        <w:t xml:space="preserve">che il versamento del saldo del prezzo debba aver luogo con le seguenti modalità: i) bonifico bancario sul </w:t>
      </w:r>
      <w:r>
        <w:t>conto corrente indicato nell’a</w:t>
      </w:r>
      <w:r>
        <w:t xml:space="preserve">vviso di vendita (con la precisazione che </w:t>
      </w:r>
      <w:r>
        <w:t>–</w:t>
      </w:r>
      <w:r>
        <w:t xml:space="preserve"> ai fini della verifica della tempestività del versamento </w:t>
      </w:r>
      <w:r>
        <w:t>–</w:t>
      </w:r>
      <w:r>
        <w:t xml:space="preserve"> </w:t>
      </w:r>
      <w:r>
        <w:t xml:space="preserve">si darà rilievo alla data dell’ordine di bonifico); oppure: ii) consegna al professionista delegato </w:t>
      </w:r>
      <w:r>
        <w:t>di un assegno circolare non trasferibile intestato al Tribunale di Santa Maria Capua Vetere, pro</w:t>
      </w:r>
      <w:r>
        <w:t xml:space="preserve">cedura esecutiva, n. / R.G.E.; </w:t>
      </w:r>
    </w:p>
    <w:p w14:paraId="6985B7CD" w14:textId="77777777" w:rsidR="00F53EE2" w:rsidRDefault="00AC554B">
      <w:pPr>
        <w:numPr>
          <w:ilvl w:val="0"/>
          <w:numId w:val="11"/>
        </w:numPr>
        <w:spacing w:line="354" w:lineRule="auto"/>
        <w:ind w:right="75" w:hanging="130"/>
      </w:pPr>
      <w:r>
        <w:t>che, in caso di inadempimento all’obbligazione di pagamento del prezzo: i) l’aggiudicazione sia revocata e le somme versate dall’aggiudicatario a titolo di cauzione siano acqu</w:t>
      </w:r>
      <w:r>
        <w:t xml:space="preserve">isite a titolo di multa; ii) il professionista </w:t>
      </w:r>
      <w:r>
        <w:t>pr</w:t>
      </w:r>
      <w:r>
        <w:t xml:space="preserve">oceda a fissare immediatamente nuovo esperimento di vendita alle medesime condizioni di cui all’ultimo </w:t>
      </w:r>
      <w:r>
        <w:t xml:space="preserve">tentativo di vendita e con cauzione pari al venti per cento (20%) del prezzo offerto, trasmettendo gli atti al </w:t>
      </w:r>
      <w:r>
        <w:t xml:space="preserve">giudice per l’emissione del provvedimento </w:t>
      </w:r>
      <w:r>
        <w:t>di cui all’art. 587 c.p.c.;</w:t>
      </w:r>
      <w:r>
        <w:t xml:space="preserve"> </w:t>
      </w:r>
    </w:p>
    <w:p w14:paraId="49E93480" w14:textId="77777777" w:rsidR="00F53EE2" w:rsidRDefault="00AC554B">
      <w:pPr>
        <w:numPr>
          <w:ilvl w:val="0"/>
          <w:numId w:val="11"/>
        </w:numPr>
        <w:ind w:right="75" w:hanging="130"/>
      </w:pPr>
      <w:r>
        <w:t>che, laddove il bene sia gravato da ipoteca iscritta a garanzia di mutuo concesso ai sensi del R.D. 16 luglio 1905, n. 646 ovvero del D.P.R. 21 gennaio 1976, n. 7 ovvero de</w:t>
      </w:r>
      <w:r>
        <w:t>ll’art. 38 del D. Lgs. 10 settembre 1993, n. 385 (credi</w:t>
      </w:r>
      <w:r>
        <w:t xml:space="preserve">tore fondiario), il versamento del prezzo abbia luogo con le seguenti modalità: i) l’aggiudicatario procederà </w:t>
      </w:r>
      <w:r>
        <w:t>in ogni caso al versamento presso il professionista delegato con le modalità sopra indicate; ii) il professionista delegato verserà gli importi al</w:t>
      </w:r>
      <w:r>
        <w:t xml:space="preserve"> creditore con valuta dalla data del versamento del saldo prezzo nei limiti della </w:t>
      </w:r>
      <w:r>
        <w:t xml:space="preserve">parte del credito garantita da ipoteca ai sensi dell’art. 2855 cod. civ. (con la precisazione che il creditore </w:t>
      </w:r>
      <w:r>
        <w:t>fondiario è onerato di comunicare al professionista delegato un</w:t>
      </w:r>
      <w:r>
        <w:t xml:space="preserve"> atto contenente: la precisazione </w:t>
      </w:r>
      <w:r>
        <w:lastRenderedPageBreak/>
        <w:t xml:space="preserve">analitica di tale parte del credito e dei relativi criteri di calcolo; le modalità per il versamento diretto e, in particolare, il conto corrente di accredito delle somme);      </w:t>
      </w:r>
      <w:r>
        <w:t>e per l’effetto:</w:t>
      </w:r>
      <w:r>
        <w:t xml:space="preserve"> </w:t>
      </w:r>
    </w:p>
    <w:p w14:paraId="128FE41A" w14:textId="77777777" w:rsidR="00F53EE2" w:rsidRDefault="00AC554B">
      <w:pPr>
        <w:ind w:left="-15" w:right="75" w:firstLine="288"/>
      </w:pPr>
      <w:r>
        <w:rPr>
          <w:b/>
        </w:rPr>
        <w:t xml:space="preserve">AUTORIZZA </w:t>
      </w:r>
      <w:r>
        <w:t>il professionist</w:t>
      </w:r>
      <w:r>
        <w:t>a delegato ad operare il versamento in favore del creditore fondiario nei termini sopra indicati e con disposizione di bonifico a valere sul conto corrente intestato alla procedura;</w:t>
      </w:r>
      <w:r>
        <w:rPr>
          <w:b/>
        </w:rPr>
        <w:t xml:space="preserve"> </w:t>
      </w:r>
      <w:r>
        <w:t xml:space="preserve">     </w:t>
      </w:r>
      <w:r>
        <w:rPr>
          <w:b/>
          <w:i/>
          <w:u w:val="single" w:color="000000"/>
        </w:rPr>
        <w:t>Saldo spese</w:t>
      </w:r>
      <w:r>
        <w:rPr>
          <w:b/>
          <w:i/>
        </w:rPr>
        <w:t xml:space="preserve"> </w:t>
      </w:r>
      <w:r>
        <w:t xml:space="preserve">     </w:t>
      </w:r>
      <w:r>
        <w:rPr>
          <w:b/>
        </w:rPr>
        <w:t xml:space="preserve">DISPONE: </w:t>
      </w:r>
    </w:p>
    <w:p w14:paraId="352E6581" w14:textId="77777777" w:rsidR="00F53EE2" w:rsidRDefault="00AC554B">
      <w:pPr>
        <w:numPr>
          <w:ilvl w:val="0"/>
          <w:numId w:val="11"/>
        </w:numPr>
        <w:spacing w:line="354" w:lineRule="auto"/>
        <w:ind w:right="75" w:hanging="130"/>
      </w:pPr>
      <w:r>
        <w:t>che, nel termine fissato per il versamento</w:t>
      </w:r>
      <w:r>
        <w:t xml:space="preserve"> del saldo prezzo e con le medesime modalità sopra indicate, </w:t>
      </w:r>
      <w:r>
        <w:t xml:space="preserve">l’aggiudicatario depositi una somma a titolo forfettario per gli oneri e le spese di vendita che restano in ogni </w:t>
      </w:r>
      <w:r>
        <w:t xml:space="preserve">caso a carico </w:t>
      </w:r>
      <w:r>
        <w:t>dell’aggiudicatario;</w:t>
      </w:r>
      <w:r>
        <w:t xml:space="preserve"> </w:t>
      </w:r>
    </w:p>
    <w:p w14:paraId="4FF8D835" w14:textId="77777777" w:rsidR="00F53EE2" w:rsidRDefault="00AC554B">
      <w:pPr>
        <w:numPr>
          <w:ilvl w:val="0"/>
          <w:numId w:val="11"/>
        </w:numPr>
        <w:spacing w:after="133" w:line="259" w:lineRule="auto"/>
        <w:ind w:right="75" w:hanging="130"/>
      </w:pPr>
      <w:r>
        <w:t>che la somma forfettaria in questione sia pari</w:t>
      </w:r>
      <w:r>
        <w:t xml:space="preserve">: </w:t>
      </w:r>
    </w:p>
    <w:p w14:paraId="188B5AFF" w14:textId="77777777" w:rsidR="00F53EE2" w:rsidRDefault="00AC554B">
      <w:pPr>
        <w:numPr>
          <w:ilvl w:val="0"/>
          <w:numId w:val="12"/>
        </w:numPr>
        <w:spacing w:after="106" w:line="259" w:lineRule="auto"/>
        <w:ind w:right="75" w:hanging="360"/>
      </w:pPr>
      <w:r>
        <w:t>in via generale, al venti per cento (20%) del prezzo di aggiudicazione;</w:t>
      </w:r>
      <w:r>
        <w:rPr>
          <w:b/>
        </w:rPr>
        <w:t xml:space="preserve"> </w:t>
      </w:r>
    </w:p>
    <w:p w14:paraId="352EB823" w14:textId="77777777" w:rsidR="00F53EE2" w:rsidRDefault="00AC554B">
      <w:pPr>
        <w:numPr>
          <w:ilvl w:val="0"/>
          <w:numId w:val="12"/>
        </w:numPr>
        <w:spacing w:after="58" w:line="259" w:lineRule="auto"/>
        <w:ind w:right="75" w:hanging="360"/>
      </w:pPr>
      <w:r>
        <w:t xml:space="preserve">per i soli terreni agricoli, al venticinque per cento (25%) del prezzo di aggiudicazione; </w:t>
      </w:r>
    </w:p>
    <w:p w14:paraId="5C5AE5D6" w14:textId="77777777" w:rsidR="00F53EE2" w:rsidRDefault="00AC554B">
      <w:pPr>
        <w:spacing w:after="42"/>
        <w:ind w:left="-5" w:right="75"/>
      </w:pPr>
      <w:r>
        <w:t xml:space="preserve">     - </w:t>
      </w:r>
      <w:r>
        <w:t xml:space="preserve">che, nel caso di mancato versamento del saldo delle spese nel termine sopra indicato, si proceda come segue: </w:t>
      </w:r>
    </w:p>
    <w:p w14:paraId="26303BC1" w14:textId="77777777" w:rsidR="00F53EE2" w:rsidRDefault="00AC554B">
      <w:pPr>
        <w:numPr>
          <w:ilvl w:val="0"/>
          <w:numId w:val="13"/>
        </w:numPr>
        <w:spacing w:after="41"/>
        <w:ind w:right="75" w:hanging="360"/>
      </w:pPr>
      <w:r>
        <w:t>il professionista depositi relazione attestante il mancato versamento del saldo spese e contenente la quantificazione delle spese per la cancellaz</w:t>
      </w:r>
      <w:r>
        <w:t xml:space="preserve">ione delle formalità pregiudizievoli esistenti a quella data; </w:t>
      </w:r>
    </w:p>
    <w:p w14:paraId="23711C01" w14:textId="77777777" w:rsidR="00F53EE2" w:rsidRDefault="00AC554B">
      <w:pPr>
        <w:numPr>
          <w:ilvl w:val="0"/>
          <w:numId w:val="13"/>
        </w:numPr>
        <w:spacing w:after="40"/>
        <w:ind w:right="75" w:hanging="360"/>
      </w:pPr>
      <w:r>
        <w:t xml:space="preserve">il professionista accantoni una somma pari all’importo necessario per la cancellazione delle formalità </w:t>
      </w:r>
      <w:r>
        <w:t>pregiudizievoli esistenti a quella data e proceda agli adempimenti per la distribuzione de</w:t>
      </w:r>
      <w:r>
        <w:t xml:space="preserve">l residuo ai creditori; </w:t>
      </w:r>
    </w:p>
    <w:p w14:paraId="454C1161" w14:textId="77777777" w:rsidR="00F53EE2" w:rsidRDefault="00AC554B">
      <w:pPr>
        <w:numPr>
          <w:ilvl w:val="0"/>
          <w:numId w:val="13"/>
        </w:numPr>
        <w:spacing w:after="49" w:line="354" w:lineRule="auto"/>
        <w:ind w:right="75" w:hanging="360"/>
      </w:pPr>
      <w:r>
        <w:t>l’emissione del decreto di trasferimento abbia luogo solo all’esito del saldo spese da parte dell’aggiudicatario;</w:t>
      </w:r>
      <w:r>
        <w:t xml:space="preserve"> </w:t>
      </w:r>
    </w:p>
    <w:p w14:paraId="124386DD" w14:textId="77777777" w:rsidR="00F53EE2" w:rsidRDefault="00AC554B">
      <w:pPr>
        <w:numPr>
          <w:ilvl w:val="0"/>
          <w:numId w:val="13"/>
        </w:numPr>
        <w:ind w:right="75" w:hanging="360"/>
      </w:pPr>
      <w:r>
        <w:t>le somme che si rendessero necessarie per la cancellazione delle formalità pregiudizievoli eccedenti la misura quant</w:t>
      </w:r>
      <w:r>
        <w:t>ificata dal pr</w:t>
      </w:r>
      <w:r>
        <w:t xml:space="preserve">ofessionista saranno poste a carico dell’aggiudicatario;   </w:t>
      </w:r>
      <w:r>
        <w:t xml:space="preserve"> </w:t>
      </w:r>
    </w:p>
    <w:p w14:paraId="439990D8" w14:textId="77777777" w:rsidR="00F53EE2" w:rsidRDefault="00AC554B">
      <w:pPr>
        <w:numPr>
          <w:ilvl w:val="0"/>
          <w:numId w:val="14"/>
        </w:numPr>
        <w:spacing w:line="354" w:lineRule="auto"/>
        <w:ind w:right="75" w:hanging="130"/>
      </w:pPr>
      <w:r>
        <w:t>che, in ogni caso, all’esito delle operazioni di registrazione e trascrizione del decreto di trasferimento, il professionista rediga prospetto riepilogativo delle spese a carico del</w:t>
      </w:r>
      <w:r>
        <w:t>l’aggiud</w:t>
      </w:r>
      <w:r>
        <w:t xml:space="preserve">icatario (ivi compresa la quota del compenso ai sensi del D.M. n. 227 del 2015) e proceda alla restituzione di quanto versato in eccedenza;      </w:t>
      </w:r>
      <w:r>
        <w:t>e per l’effetto:</w:t>
      </w:r>
      <w:r>
        <w:t xml:space="preserve"> </w:t>
      </w:r>
    </w:p>
    <w:p w14:paraId="75569006" w14:textId="77777777" w:rsidR="00F53EE2" w:rsidRDefault="00AC554B">
      <w:pPr>
        <w:ind w:left="-5" w:right="75"/>
      </w:pPr>
      <w:r>
        <w:t xml:space="preserve">     </w:t>
      </w:r>
      <w:r>
        <w:rPr>
          <w:b/>
        </w:rPr>
        <w:t xml:space="preserve">AUTORIZZA </w:t>
      </w:r>
      <w:r>
        <w:t>il professionista delegato ad operare la restituzione nei termini sopr</w:t>
      </w:r>
      <w:r>
        <w:t xml:space="preserve">a indicati con disposizione di bonifico a valere sul conto corrente intestato alla procedura;  </w:t>
      </w:r>
    </w:p>
    <w:p w14:paraId="14E0230E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   </w:t>
      </w:r>
    </w:p>
    <w:p w14:paraId="75AD80B6" w14:textId="77777777" w:rsidR="00F53EE2" w:rsidRDefault="00AC554B">
      <w:pPr>
        <w:spacing w:after="87" w:line="259" w:lineRule="auto"/>
        <w:ind w:left="-5" w:right="66"/>
      </w:pPr>
      <w:r>
        <w:t xml:space="preserve">       </w:t>
      </w:r>
      <w:r>
        <w:rPr>
          <w:b/>
        </w:rPr>
        <w:t xml:space="preserve">RAPPRESENTA ALTRESI’ CHE  </w:t>
      </w:r>
    </w:p>
    <w:p w14:paraId="1C2FC1E7" w14:textId="77777777" w:rsidR="00F53EE2" w:rsidRDefault="00AC554B">
      <w:pPr>
        <w:numPr>
          <w:ilvl w:val="0"/>
          <w:numId w:val="14"/>
        </w:numPr>
        <w:ind w:right="75" w:hanging="130"/>
      </w:pPr>
      <w:r>
        <w:t xml:space="preserve">nel termine fissato per il versamento del prezzo, l'aggiudicatario, con dichiarazione scritta resa nella consapevolezza della responsabilità civile e penale prevista per le dichiarazioni false o mendaci, fornisce al professionista delegato le informazioni </w:t>
      </w:r>
      <w:r>
        <w:t xml:space="preserve">prescritte dall'articolo 22 del decreto legislativo 21 novembre 2007, n. 231 ( ex art. 585 c.p.c., c.d. dichiarazione antiriciclaggio, come da modello presente sul sito del Tribunale);  - </w:t>
      </w:r>
      <w:r>
        <w:t>in ordine al rilascio del cespite pignorato in favore dell’aggiudica</w:t>
      </w:r>
      <w:r>
        <w:t xml:space="preserve">tario (ipotesi contemplata dall’art. 560, </w:t>
      </w:r>
      <w:r>
        <w:t xml:space="preserve">ultimo comma, novellato dal D.lsg. 149 del 2022, c.d. Riforma Cartabia), sarà effettuata a cura del custode, a </w:t>
      </w:r>
      <w:r>
        <w:t xml:space="preserve">meno che l’aggiudicatario/assegnatario non lo esoneri espressamente;  </w:t>
      </w:r>
      <w:r>
        <w:t xml:space="preserve"> </w:t>
      </w:r>
    </w:p>
    <w:p w14:paraId="6F2E7117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</w:t>
      </w:r>
    </w:p>
    <w:p w14:paraId="63B565B5" w14:textId="77777777" w:rsidR="00F53EE2" w:rsidRDefault="00AC554B">
      <w:pPr>
        <w:spacing w:after="3" w:line="358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Regime della vendita</w:t>
      </w:r>
      <w:r>
        <w:rPr>
          <w:b/>
          <w:i/>
        </w:rPr>
        <w:t xml:space="preserve"> </w:t>
      </w:r>
      <w:r>
        <w:t xml:space="preserve">     </w:t>
      </w:r>
      <w:r>
        <w:rPr>
          <w:b/>
        </w:rPr>
        <w:t xml:space="preserve">PRECISA: </w:t>
      </w:r>
    </w:p>
    <w:p w14:paraId="410BAF63" w14:textId="77777777" w:rsidR="00F53EE2" w:rsidRDefault="00AC554B">
      <w:pPr>
        <w:numPr>
          <w:ilvl w:val="0"/>
          <w:numId w:val="14"/>
        </w:numPr>
        <w:ind w:right="75" w:hanging="130"/>
      </w:pPr>
      <w:r>
        <w:t xml:space="preserve">che la vendita ha luogo nello stato di fatto e di diritto in cui i beni si trovano, con tutte le eventuali pertinenze, accessioni, ragioni ed azioni, servitù attive e passive; </w:t>
      </w:r>
    </w:p>
    <w:p w14:paraId="7854529C" w14:textId="77777777" w:rsidR="00F53EE2" w:rsidRDefault="00AC554B">
      <w:pPr>
        <w:numPr>
          <w:ilvl w:val="0"/>
          <w:numId w:val="14"/>
        </w:numPr>
        <w:ind w:right="75" w:hanging="130"/>
      </w:pPr>
      <w:r>
        <w:t>che la vendita è a corpo e non a misura e n</w:t>
      </w:r>
      <w:r>
        <w:t xml:space="preserve">on è soggetta alle norme concernenti la garanzia per vizi o mancanza di qualità, né può essere revocata; </w:t>
      </w:r>
    </w:p>
    <w:p w14:paraId="55F22F38" w14:textId="77777777" w:rsidR="00F53EE2" w:rsidRDefault="00AC554B">
      <w:pPr>
        <w:numPr>
          <w:ilvl w:val="0"/>
          <w:numId w:val="14"/>
        </w:numPr>
        <w:spacing w:after="0" w:line="358" w:lineRule="auto"/>
        <w:ind w:right="75" w:hanging="130"/>
      </w:pPr>
      <w:r>
        <w:lastRenderedPageBreak/>
        <w:t xml:space="preserve">che l’eventuale esistenza di vizi, mancanza di qualità o difformità della cosa venduta, oneri di qualsiasi </w:t>
      </w:r>
      <w:r>
        <w:t>genere (ivi compresi, a mero titolo di esem</w:t>
      </w:r>
      <w:r>
        <w:t xml:space="preserve">pio, quelli urbanistici ovvero derivanti dalla eventuale necessità di adeguamento di impianti alle </w:t>
      </w:r>
      <w:r>
        <w:t xml:space="preserve">leggi vigenti, spese condominiali dell’anno in corso e dell’anno precedente non </w:t>
      </w:r>
      <w:r>
        <w:t>pagate dal debitore) per qualsiasi motivo non considerati, anche se occulti e</w:t>
      </w:r>
      <w:r>
        <w:t xml:space="preserve"> comunque non evidenziati in perizia, non possono dar luogo a risarcimento, indennità o riduzione del prezzo, essendosi di ciò tenuto conto nella valutazione dei beni; </w:t>
      </w:r>
    </w:p>
    <w:p w14:paraId="470A5D9F" w14:textId="77777777" w:rsidR="00F53EE2" w:rsidRDefault="00AC554B">
      <w:pPr>
        <w:numPr>
          <w:ilvl w:val="0"/>
          <w:numId w:val="14"/>
        </w:numPr>
        <w:spacing w:line="354" w:lineRule="auto"/>
        <w:ind w:right="75" w:hanging="130"/>
      </w:pPr>
      <w:r>
        <w:t>che il bene è venduto libero da iscrizioni ipotecarie e da trascrizioni di pignoramenti</w:t>
      </w:r>
      <w:r>
        <w:t xml:space="preserve"> e che, laddove esistenti al momento della vendita, eventuali iscrizioni e trascrizioni saranno cancellate a spese e cura della procedura </w:t>
      </w:r>
      <w:r>
        <w:t>(salvo quanto sopra indicato nel caso di mancato versamento del saldo spese da parte dell’aggiudicatario);</w:t>
      </w:r>
      <w:r>
        <w:t xml:space="preserve">      - </w:t>
      </w:r>
      <w:r>
        <w:t xml:space="preserve">che </w:t>
      </w:r>
      <w:r>
        <w:t>la liberazione dell’immobile, laddove occupato dal debitore o da terzi senza titolo opponibil</w:t>
      </w:r>
      <w:r>
        <w:t xml:space="preserve">e, sarà </w:t>
      </w:r>
      <w:r>
        <w:t>effettuata a cura del custode giudiziario, salvo che l’aggiudicatario lo esoneri;</w:t>
      </w:r>
      <w:r>
        <w:t xml:space="preserve"> </w:t>
      </w:r>
    </w:p>
    <w:p w14:paraId="73B67446" w14:textId="77777777" w:rsidR="00F53EE2" w:rsidRDefault="00AC554B">
      <w:pPr>
        <w:numPr>
          <w:ilvl w:val="0"/>
          <w:numId w:val="14"/>
        </w:numPr>
        <w:ind w:right="75" w:hanging="130"/>
      </w:pPr>
      <w:r>
        <w:t>che ogni onere fiscale e/o tributario derivante dalla vendita è a carico</w:t>
      </w:r>
      <w:r>
        <w:t xml:space="preserve"> del soggetto aggiudicatario;      </w:t>
      </w:r>
      <w:r>
        <w:rPr>
          <w:b/>
          <w:i/>
          <w:u w:val="single" w:color="000000"/>
        </w:rPr>
        <w:t>Rinvio</w:t>
      </w:r>
      <w:r>
        <w:rPr>
          <w:b/>
          <w:i/>
        </w:rPr>
        <w:t xml:space="preserve"> </w:t>
      </w:r>
    </w:p>
    <w:p w14:paraId="3997A7A1" w14:textId="77777777" w:rsidR="00F53EE2" w:rsidRDefault="00AC554B">
      <w:pPr>
        <w:spacing w:after="89" w:line="259" w:lineRule="auto"/>
        <w:ind w:left="-5" w:right="0"/>
        <w:jc w:val="left"/>
      </w:pPr>
      <w:r>
        <w:t xml:space="preserve">     </w:t>
      </w:r>
      <w:r>
        <w:rPr>
          <w:b/>
        </w:rPr>
        <w:t xml:space="preserve">DISPONE: </w:t>
      </w:r>
    </w:p>
    <w:p w14:paraId="0A068B42" w14:textId="77777777" w:rsidR="00F53EE2" w:rsidRDefault="00AC554B">
      <w:pPr>
        <w:numPr>
          <w:ilvl w:val="0"/>
          <w:numId w:val="14"/>
        </w:numPr>
        <w:spacing w:after="87" w:line="259" w:lineRule="auto"/>
        <w:ind w:right="75" w:hanging="130"/>
      </w:pPr>
      <w:r>
        <w:t xml:space="preserve">che, per tutto quanto qui non espressamente previsto, si applichino le vigenti norme di legge. </w:t>
      </w:r>
    </w:p>
    <w:p w14:paraId="38190632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330F6DE1" w14:textId="77777777" w:rsidR="00F53EE2" w:rsidRDefault="00AC554B">
      <w:pPr>
        <w:spacing w:after="88" w:line="259" w:lineRule="auto"/>
        <w:ind w:left="355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MODALITA’ DELLA VENDITA TELEMATICA</w:t>
      </w:r>
      <w:r>
        <w:t xml:space="preserve"> </w:t>
      </w:r>
    </w:p>
    <w:p w14:paraId="71F70FAD" w14:textId="77777777" w:rsidR="00F53EE2" w:rsidRDefault="00AC554B">
      <w:pPr>
        <w:spacing w:after="3" w:line="358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Disposizioni generali</w:t>
      </w:r>
      <w:r>
        <w:rPr>
          <w:b/>
          <w:i/>
        </w:rPr>
        <w:t xml:space="preserve"> </w:t>
      </w:r>
      <w:r>
        <w:t xml:space="preserve">     </w:t>
      </w:r>
      <w:r>
        <w:rPr>
          <w:b/>
        </w:rPr>
        <w:t>DISPONE</w:t>
      </w:r>
      <w:r>
        <w:t xml:space="preserve">: </w:t>
      </w:r>
    </w:p>
    <w:p w14:paraId="2E214FDE" w14:textId="77777777" w:rsidR="00F53EE2" w:rsidRDefault="00AC554B">
      <w:pPr>
        <w:numPr>
          <w:ilvl w:val="0"/>
          <w:numId w:val="15"/>
        </w:numPr>
        <w:spacing w:after="87" w:line="259" w:lineRule="auto"/>
        <w:ind w:right="75" w:hanging="130"/>
      </w:pPr>
      <w:r>
        <w:t xml:space="preserve">che il </w:t>
      </w:r>
      <w:r>
        <w:rPr>
          <w:b/>
        </w:rPr>
        <w:t>GESTORE DELLA VENDITA TELEMATICA</w:t>
      </w:r>
      <w:r>
        <w:t xml:space="preserve"> sia la società di seguito indicata: EDICOM </w:t>
      </w:r>
    </w:p>
    <w:p w14:paraId="4F01C067" w14:textId="77777777" w:rsidR="00F53EE2" w:rsidRDefault="00AC554B">
      <w:pPr>
        <w:numPr>
          <w:ilvl w:val="0"/>
          <w:numId w:val="15"/>
        </w:numPr>
        <w:ind w:right="75" w:hanging="130"/>
      </w:pPr>
      <w:r>
        <w:t xml:space="preserve">che il </w:t>
      </w:r>
      <w:r>
        <w:rPr>
          <w:b/>
        </w:rPr>
        <w:t>PORTALE</w:t>
      </w:r>
      <w:r>
        <w:t xml:space="preserve"> del gestore della vendita telematica sia il sito di seguito indicato: </w:t>
      </w:r>
      <w:hyperlink r:id="rId8">
        <w:r>
          <w:rPr>
            <w:color w:val="0000FF"/>
            <w:u w:val="single" w:color="0000FF"/>
          </w:rPr>
          <w:t>www.garavirtuale.it</w:t>
        </w:r>
      </w:hyperlink>
      <w:hyperlink r:id="rId9">
        <w:r>
          <w:t>;</w:t>
        </w:r>
      </w:hyperlink>
      <w:r>
        <w:t xml:space="preserve">     - che il </w:t>
      </w:r>
      <w:r>
        <w:rPr>
          <w:b/>
        </w:rPr>
        <w:t>REFERENTE DELLA PROCEDURA</w:t>
      </w:r>
      <w:r>
        <w:t xml:space="preserve"> incaricato delle operazioni di vendita sia il professionista delegato; </w:t>
      </w:r>
    </w:p>
    <w:p w14:paraId="113F1792" w14:textId="77777777" w:rsidR="00F53EE2" w:rsidRDefault="00AC554B">
      <w:pPr>
        <w:spacing w:after="87" w:line="259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Offerta</w:t>
      </w:r>
      <w:r>
        <w:rPr>
          <w:b/>
          <w:i/>
        </w:rPr>
        <w:t xml:space="preserve"> </w:t>
      </w:r>
    </w:p>
    <w:p w14:paraId="3C7801F3" w14:textId="77777777" w:rsidR="00F53EE2" w:rsidRDefault="00AC554B">
      <w:pPr>
        <w:spacing w:after="89" w:line="259" w:lineRule="auto"/>
        <w:ind w:left="-5" w:right="0"/>
        <w:jc w:val="left"/>
      </w:pPr>
      <w:r>
        <w:t xml:space="preserve">     </w:t>
      </w:r>
      <w:r>
        <w:rPr>
          <w:b/>
        </w:rPr>
        <w:t>DISPONE:</w:t>
      </w:r>
      <w:r>
        <w:rPr>
          <w:b/>
        </w:rPr>
        <w:t xml:space="preserve"> </w:t>
      </w:r>
    </w:p>
    <w:p w14:paraId="62EF8CCF" w14:textId="77777777" w:rsidR="00F53EE2" w:rsidRDefault="00AC554B">
      <w:pPr>
        <w:numPr>
          <w:ilvl w:val="0"/>
          <w:numId w:val="15"/>
        </w:numPr>
        <w:ind w:right="75" w:hanging="130"/>
      </w:pPr>
      <w:r>
        <w:t xml:space="preserve">che l’offerta possa essere formulata esclusivamente con modalità telematiche tramite il modulo web </w:t>
      </w:r>
      <w:r>
        <w:rPr>
          <w:b/>
        </w:rPr>
        <w:t xml:space="preserve">“Offerta Telematica” </w:t>
      </w:r>
      <w:r>
        <w:t xml:space="preserve">fornito dal Ministero della Giustizia ed a cui è possibile accedere anche dal portale del gestore della vendita; </w:t>
      </w:r>
    </w:p>
    <w:p w14:paraId="1AF9D09F" w14:textId="77777777" w:rsidR="00F53EE2" w:rsidRDefault="00AC554B">
      <w:pPr>
        <w:numPr>
          <w:ilvl w:val="0"/>
          <w:numId w:val="15"/>
        </w:numPr>
        <w:ind w:right="75" w:hanging="130"/>
      </w:pPr>
      <w:r>
        <w:t>che all’offerta sian</w:t>
      </w:r>
      <w:r>
        <w:t xml:space="preserve">o </w:t>
      </w:r>
      <w:r>
        <w:rPr>
          <w:b/>
        </w:rPr>
        <w:t>allegati</w:t>
      </w:r>
      <w:r>
        <w:t>:</w:t>
      </w:r>
      <w:r>
        <w:rPr>
          <w:b/>
        </w:rPr>
        <w:t xml:space="preserve"> </w:t>
      </w:r>
      <w:r>
        <w:t xml:space="preserve">a) la documentazione attestante il versamento (segnatamente, copia della contabile di avvenuto pagamento) effettuato tramite bonifico bancario sul conto </w:t>
      </w:r>
      <w:r>
        <w:t xml:space="preserve">“cauzione” dell’importo della </w:t>
      </w:r>
      <w:r>
        <w:t>cauzione;</w:t>
      </w:r>
      <w:r>
        <w:rPr>
          <w:b/>
        </w:rPr>
        <w:t xml:space="preserve"> </w:t>
      </w:r>
      <w:r>
        <w:t>b) se il soggetto offerente è coniugato in regime d</w:t>
      </w:r>
      <w:r>
        <w:t xml:space="preserve">i comunione legale dei beni, copia del documento </w:t>
      </w:r>
      <w:r>
        <w:t>d’identità e copia del codice fiscale del coniuge (salvo la facoltà del deposito successivo all’esito dell’aggiudic</w:t>
      </w:r>
      <w:r>
        <w:t>azione e del versamento del prezzo);</w:t>
      </w:r>
      <w:r>
        <w:rPr>
          <w:b/>
        </w:rPr>
        <w:t xml:space="preserve"> </w:t>
      </w:r>
      <w:r>
        <w:t xml:space="preserve">c) se il soggetto offerente è minorenne o interdetto o </w:t>
      </w:r>
      <w:r>
        <w:t xml:space="preserve">inabilitato, </w:t>
      </w:r>
      <w:r>
        <w:t>copia del documento d’identità e copia del codice fiscale del soggetto offerente e del soggetto che sottoscrive l’offerta, nonché copia del provvedimen</w:t>
      </w:r>
      <w:r>
        <w:t>to di autorizzazione;</w:t>
      </w:r>
      <w:r>
        <w:rPr>
          <w:b/>
        </w:rPr>
        <w:t xml:space="preserve"> </w:t>
      </w:r>
      <w:r>
        <w:t>d) se il soggetto offerente è una società o persona giuridica, copia d</w:t>
      </w:r>
      <w:r>
        <w:t xml:space="preserve">el documento (ad esempio, certificato del registro delle imprese) da cui risultino i poteri ovvero </w:t>
      </w:r>
      <w:r>
        <w:t>la procura o l’atto di nomina che giustifichi i poteri;</w:t>
      </w:r>
      <w:r>
        <w:rPr>
          <w:b/>
        </w:rPr>
        <w:t xml:space="preserve"> </w:t>
      </w:r>
      <w:r>
        <w:t>e) se l’o</w:t>
      </w:r>
      <w:r>
        <w:t>fferta è formulata da più persone, copia anche per immagine della procura rilasciata dagli a</w:t>
      </w:r>
      <w:r>
        <w:t xml:space="preserve">ltri offerenti per atto pubblico o scrittura privata autenticata rilasciata </w:t>
      </w:r>
      <w:r>
        <w:t>al soggetto che effettua l’offerta;</w:t>
      </w:r>
      <w:r>
        <w:rPr>
          <w:b/>
        </w:rPr>
        <w:t xml:space="preserve"> </w:t>
      </w:r>
    </w:p>
    <w:p w14:paraId="7CC51B0E" w14:textId="77777777" w:rsidR="00F53EE2" w:rsidRDefault="00AC554B">
      <w:pPr>
        <w:numPr>
          <w:ilvl w:val="0"/>
          <w:numId w:val="15"/>
        </w:numPr>
        <w:ind w:right="75" w:hanging="130"/>
      </w:pPr>
      <w:r>
        <w:t xml:space="preserve">che, per la </w:t>
      </w:r>
      <w:r>
        <w:rPr>
          <w:b/>
        </w:rPr>
        <w:t>sottoscrizione e trasmissione</w:t>
      </w:r>
      <w:r>
        <w:t xml:space="preserve">, in </w:t>
      </w:r>
      <w:r>
        <w:t xml:space="preserve">via alternativa, l’offerta: a) sia sottoscritta con </w:t>
      </w:r>
      <w:r>
        <w:rPr>
          <w:i/>
        </w:rPr>
        <w:t>firma digitale</w:t>
      </w:r>
      <w:r>
        <w:t xml:space="preserve"> e trasmessa a mezzo di </w:t>
      </w:r>
      <w:r>
        <w:rPr>
          <w:i/>
        </w:rPr>
        <w:t>casella</w:t>
      </w:r>
      <w:r>
        <w:rPr>
          <w:i/>
        </w:rPr>
        <w:t xml:space="preserve"> di posta elettronica certificata</w:t>
      </w:r>
      <w:r>
        <w:t xml:space="preserve">; oppure: b) sia direttamente trasmessa a mezzo di </w:t>
      </w:r>
      <w:r>
        <w:rPr>
          <w:i/>
        </w:rPr>
        <w:t>casella di posta elettronica certificata per la vendita telematica</w:t>
      </w:r>
      <w:r>
        <w:t xml:space="preserve"> </w:t>
      </w:r>
      <w:r>
        <w:t xml:space="preserve">ai sensi dell’art. 12, comma 4 e dell’art. 13 del </w:t>
      </w:r>
      <w:r>
        <w:t>D.M. n. 32 del 2015, con la precisazione che, in tal ca</w:t>
      </w:r>
      <w:r>
        <w:t>so, la trasmissione sostituisce la</w:t>
      </w:r>
      <w:r>
        <w:rPr>
          <w:i/>
        </w:rPr>
        <w:t xml:space="preserve"> </w:t>
      </w:r>
      <w:r>
        <w:t>firma dell’offerta a condizione che: l’invio sia</w:t>
      </w:r>
      <w:r>
        <w:rPr>
          <w:i/>
        </w:rPr>
        <w:t xml:space="preserve"> </w:t>
      </w:r>
      <w:r>
        <w:t>avvenuto richiedendo la ricevuta completa di avvenuta consegna di cui</w:t>
      </w:r>
      <w:r>
        <w:rPr>
          <w:i/>
        </w:rPr>
        <w:t xml:space="preserve"> </w:t>
      </w:r>
      <w:r>
        <w:t xml:space="preserve">all’art. 6, </w:t>
      </w:r>
      <w:r>
        <w:t>comma 4 del D.P.R. n. 68 del 2005; il gestore del servizio di posta</w:t>
      </w:r>
      <w:r>
        <w:rPr>
          <w:i/>
        </w:rPr>
        <w:t xml:space="preserve"> </w:t>
      </w:r>
      <w:r>
        <w:t xml:space="preserve">elettronica certificata attesti nel messaggio o in un suo allegato di aver rilasciato le credenziali di accesso previa identificazione del richiedente (fermo </w:t>
      </w:r>
      <w:r>
        <w:lastRenderedPageBreak/>
        <w:t>rest</w:t>
      </w:r>
      <w:r>
        <w:t>ando che tale seconda modalità di sottoscrizione e trasmissione dell’offerta sarà concretament</w:t>
      </w:r>
      <w:r>
        <w:t xml:space="preserve">e operativa una volta che saranno eseguite a cura del Ministero della Giustizia le formalità di cui all’art. 13, comma 4 del </w:t>
      </w:r>
    </w:p>
    <w:p w14:paraId="30ABEA3D" w14:textId="77777777" w:rsidR="00F53EE2" w:rsidRDefault="00AC554B">
      <w:pPr>
        <w:spacing w:line="259" w:lineRule="auto"/>
        <w:ind w:left="-5" w:right="75"/>
      </w:pPr>
      <w:r>
        <w:t xml:space="preserve">D.M. n. 32 del 2015); </w:t>
      </w:r>
    </w:p>
    <w:p w14:paraId="4E45ED44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 xml:space="preserve">che, in </w:t>
      </w:r>
      <w:r>
        <w:t>particolare, l’offerta ed i relativi documenti allegati sia inviata all’indirizzo PEC del Ministero</w:t>
      </w:r>
      <w:r>
        <w:t xml:space="preserve"> della </w:t>
      </w:r>
      <w:r>
        <w:t xml:space="preserve">Giustizia </w:t>
      </w:r>
      <w:r>
        <w:rPr>
          <w:color w:val="0000FF"/>
          <w:u w:val="single" w:color="0000FF"/>
        </w:rPr>
        <w:t>offertapvp.dgsia@giustiziacert.it</w:t>
      </w:r>
      <w:r>
        <w:t>, con la precisazione che: a) l’offerta si intende</w:t>
      </w:r>
      <w:r>
        <w:t xml:space="preserve"> depositata nel momento in cui viene generata la ricevuta completa di avvenuta consegna da parte del gestore di posta </w:t>
      </w:r>
      <w:r>
        <w:t xml:space="preserve">elettronica certificata del Ministero </w:t>
      </w:r>
      <w:r>
        <w:t xml:space="preserve">della Giustizia; b) l’offerente deve procedere al pagamento del bollo dovuto </w:t>
      </w:r>
      <w:r>
        <w:t xml:space="preserve">per legge con modalità telematica (segnatamente, tramite bonifico bancario o carta di credito), fermo restando </w:t>
      </w:r>
      <w:r>
        <w:t xml:space="preserve">che il mancato versamento del bollo non determina l’inammissibilità </w:t>
      </w:r>
      <w:r>
        <w:t xml:space="preserve">dell’offerta (salvo l’avvio delle procedure </w:t>
      </w:r>
      <w:r>
        <w:t xml:space="preserve">per il recupero coattivo); </w:t>
      </w:r>
    </w:p>
    <w:p w14:paraId="6BAC3200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 xml:space="preserve">che qualora l’offerta sia presentata per conto dell’offerente da un presentatore dell’offerta, quest’ultimo non potrà presentare, nell’ambito della medesima vendita, ulteriori offerte </w:t>
      </w:r>
      <w:r>
        <w:t xml:space="preserve">per altri soggetti, pena la automatica </w:t>
      </w:r>
      <w:r>
        <w:t xml:space="preserve">esclusione di tutte le offerte presentate dal medesimo; </w:t>
      </w:r>
    </w:p>
    <w:p w14:paraId="48072435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>che, nei casi programmati di mancato funzionamento dei sistemi informativi del dominio giustizia comunicati al gestore della vendita telematica dal responsabile</w:t>
      </w:r>
      <w:r>
        <w:t xml:space="preserve"> per i sistemi informativi automatizzati del </w:t>
      </w:r>
      <w:r>
        <w:t>Ministero della Giustizia ai sensi dell’art.</w:t>
      </w:r>
      <w:r>
        <w:t xml:space="preserve"> </w:t>
      </w:r>
      <w:r>
        <w:t xml:space="preserve">15, primo comma, D.M. n. 32 del 2015, l’offerta sia formulata mediante invio a mezzo posta elettronica certificata all’indirizzo mail </w:t>
      </w:r>
      <w:r>
        <w:t>- PEC del professionista delegat</w:t>
      </w:r>
      <w:r>
        <w:t xml:space="preserve">o;       - che, nei casi di mancato funzionamento dei sistemi informativi del dominio giustizia non programmati o </w:t>
      </w:r>
      <w:r>
        <w:t xml:space="preserve">non comunicati ai sensi dell’art. 15, primo comma, D.M. n. 32 del 2015, l’offerta si intende depositata nel </w:t>
      </w:r>
      <w:r>
        <w:t>momento in cui venga generata la r</w:t>
      </w:r>
      <w:r>
        <w:t>icevuta di accettazione da parte del gestore di posta elettronica certificata del mittent</w:t>
      </w:r>
      <w:r>
        <w:t>e e, in tale eventualità, previa documentazione a cura dell’offerente della tempestiva presentazione dell’offerta, il gestore della vendita è tenuto a permettere la pa</w:t>
      </w:r>
      <w:r>
        <w:t xml:space="preserve">rtecipazione dell’offerente alle operazioni di </w:t>
      </w:r>
      <w:r>
        <w:t xml:space="preserve">vendita; </w:t>
      </w:r>
    </w:p>
    <w:p w14:paraId="5504E8FC" w14:textId="77777777" w:rsidR="00F53EE2" w:rsidRDefault="00AC554B">
      <w:pPr>
        <w:spacing w:after="87" w:line="259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Cauzione</w:t>
      </w:r>
      <w:r>
        <w:rPr>
          <w:b/>
          <w:i/>
        </w:rPr>
        <w:t xml:space="preserve"> </w:t>
      </w:r>
    </w:p>
    <w:p w14:paraId="386ADC52" w14:textId="77777777" w:rsidR="00F53EE2" w:rsidRDefault="00AC554B">
      <w:pPr>
        <w:spacing w:after="89" w:line="259" w:lineRule="auto"/>
        <w:ind w:left="-5" w:right="0"/>
        <w:jc w:val="left"/>
      </w:pPr>
      <w:r>
        <w:t xml:space="preserve">     </w:t>
      </w:r>
      <w:r>
        <w:rPr>
          <w:b/>
        </w:rPr>
        <w:t xml:space="preserve">DISPONE: </w:t>
      </w:r>
    </w:p>
    <w:p w14:paraId="76930848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>che l’importo della cauzione (nella misura sopra indicata) sia versato esclusivamente tramite bonifico bancario sul conto corrente denominato “conto cauzione”;</w:t>
      </w:r>
      <w:r>
        <w:t xml:space="preserve"> </w:t>
      </w:r>
    </w:p>
    <w:p w14:paraId="01B1B1D7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 xml:space="preserve">che le </w:t>
      </w:r>
      <w:r>
        <w:t>c</w:t>
      </w:r>
      <w:r>
        <w:t xml:space="preserve">oordinate IBAN del conto corrente denominato “conto cauzione” ed </w:t>
      </w:r>
      <w:r>
        <w:t xml:space="preserve">intestato alla procedura </w:t>
      </w:r>
      <w:r>
        <w:t xml:space="preserve">(RGE/B) per il versamento della cauzione siano riportate nell’avviso di vendita a cura del professionista </w:t>
      </w:r>
      <w:r>
        <w:t xml:space="preserve">delegato; </w:t>
      </w:r>
    </w:p>
    <w:p w14:paraId="19002600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t xml:space="preserve">che </w:t>
      </w:r>
      <w:r>
        <w:t>il bonifico sia effettuato a cura dell’offere</w:t>
      </w:r>
      <w:r>
        <w:t xml:space="preserve">nte in modo tale da consentire l’accredito in tempo </w:t>
      </w:r>
      <w:r>
        <w:t xml:space="preserve">utile per </w:t>
      </w:r>
      <w:r>
        <w:t>le determinazioni sull’ammissibilità dell’offerta.</w:t>
      </w:r>
      <w:r>
        <w:rPr>
          <w:b/>
        </w:rPr>
        <w:t xml:space="preserve"> </w:t>
      </w:r>
    </w:p>
    <w:p w14:paraId="35BE9DE0" w14:textId="77777777" w:rsidR="00F53EE2" w:rsidRDefault="00AC554B">
      <w:pPr>
        <w:spacing w:after="0" w:line="358" w:lineRule="auto"/>
        <w:ind w:left="-5" w:right="66"/>
      </w:pPr>
      <w:r>
        <w:rPr>
          <w:b/>
        </w:rPr>
        <w:t xml:space="preserve">     In particolare, qualora nel giorno fissato per la verifica di ammissibilità delle offerte e la delibazione sulle stesse il professionista</w:t>
      </w:r>
      <w:r>
        <w:rPr>
          <w:b/>
        </w:rPr>
        <w:t xml:space="preserve"> non riscontri l’accredito delle somme sul conto corrente intestato alla procedura l’offerta sarà considerata inammissibile; </w:t>
      </w:r>
    </w:p>
    <w:p w14:paraId="6CBB7CFA" w14:textId="77777777" w:rsidR="00F53EE2" w:rsidRDefault="00AC554B">
      <w:pPr>
        <w:numPr>
          <w:ilvl w:val="0"/>
          <w:numId w:val="15"/>
        </w:numPr>
        <w:ind w:right="75" w:hanging="130"/>
      </w:pPr>
      <w:r>
        <w:t>che,</w:t>
      </w:r>
      <w:r>
        <w:rPr>
          <w:b/>
        </w:rPr>
        <w:t xml:space="preserve"> </w:t>
      </w:r>
      <w:r>
        <w:t xml:space="preserve">in caso di mancata aggiudicazione, l’importo versato a titolo di cauzione (al netto degli eventuali oneri </w:t>
      </w:r>
      <w:r>
        <w:t>bancari) sia restituito dal professionista al soggetto offerente con disposizione di bonifico da eseguirsi nel termine di tre giorni lavorativi, con l</w:t>
      </w:r>
      <w:r>
        <w:t xml:space="preserve">a precisazione che </w:t>
      </w:r>
      <w:r>
        <w:t>–</w:t>
      </w:r>
      <w:r>
        <w:t xml:space="preserve"> </w:t>
      </w:r>
      <w:r>
        <w:t>nel caso in cui l’offerente sia ammesso alla gara –</w:t>
      </w:r>
      <w:r>
        <w:t xml:space="preserve"> il termine sopra indicato per la restituzione della cauzione decorrerà dalla deliberazione finale sulle offerte </w:t>
      </w:r>
      <w:r>
        <w:t>all’esito dei rilanci;</w:t>
      </w:r>
      <w:r>
        <w:t xml:space="preserve"> </w:t>
      </w:r>
    </w:p>
    <w:p w14:paraId="6FB68485" w14:textId="77777777" w:rsidR="00F53EE2" w:rsidRDefault="00AC554B">
      <w:pPr>
        <w:numPr>
          <w:ilvl w:val="0"/>
          <w:numId w:val="15"/>
        </w:numPr>
        <w:ind w:right="75" w:hanging="130"/>
      </w:pPr>
      <w:r>
        <w:t xml:space="preserve">che la restituzione della cauzione abbia luogo </w:t>
      </w:r>
      <w:r>
        <w:t xml:space="preserve">esclusivamente mediante disposizione di bonifico da </w:t>
      </w:r>
      <w:r>
        <w:t>eseguirsi in favore del conto corrente utilizzato dall’offerente per il versamento della cauzione e per l’effetto:</w:t>
      </w:r>
      <w:r>
        <w:t xml:space="preserve">      </w:t>
      </w:r>
      <w:r>
        <w:rPr>
          <w:b/>
        </w:rPr>
        <w:t xml:space="preserve">AUTORIZZA </w:t>
      </w:r>
      <w:r>
        <w:t>il professionista delegato ad operare sul conto corrente denominato “conto</w:t>
      </w:r>
      <w:r>
        <w:t xml:space="preserve"> cauzione” intestato </w:t>
      </w:r>
      <w:r>
        <w:t>alla procedura (RGE/B) al fine di procedere alla restituzione delle cauzioni versate dagli offerenti non aggiudicatari nei termini sopra precisati;</w:t>
      </w:r>
      <w:r>
        <w:rPr>
          <w:b/>
        </w:rPr>
        <w:t xml:space="preserve"> </w:t>
      </w:r>
    </w:p>
    <w:p w14:paraId="4806CC57" w14:textId="77777777" w:rsidR="00F53EE2" w:rsidRDefault="00AC554B">
      <w:pPr>
        <w:spacing w:after="3" w:line="358" w:lineRule="auto"/>
        <w:ind w:left="-5" w:right="6620"/>
      </w:pPr>
      <w:r>
        <w:t xml:space="preserve">     </w:t>
      </w:r>
      <w:r>
        <w:rPr>
          <w:b/>
          <w:i/>
          <w:u w:val="single" w:color="000000"/>
        </w:rPr>
        <w:t>Esame delle offerte</w:t>
      </w:r>
      <w:r>
        <w:rPr>
          <w:b/>
          <w:i/>
        </w:rPr>
        <w:t xml:space="preserve"> </w:t>
      </w:r>
      <w:r>
        <w:rPr>
          <w:b/>
        </w:rPr>
        <w:t xml:space="preserve">     DISPONE: </w:t>
      </w:r>
    </w:p>
    <w:p w14:paraId="47DA0058" w14:textId="77777777" w:rsidR="00F53EE2" w:rsidRDefault="00AC554B">
      <w:pPr>
        <w:numPr>
          <w:ilvl w:val="0"/>
          <w:numId w:val="15"/>
        </w:numPr>
        <w:spacing w:line="354" w:lineRule="auto"/>
        <w:ind w:right="75" w:hanging="130"/>
      </w:pPr>
      <w:r>
        <w:lastRenderedPageBreak/>
        <w:t xml:space="preserve">che l’esame delle offerte sia effettuato tramite il portale del gestore della vendita telematica sopra indicato </w:t>
      </w:r>
      <w:r>
        <w:t xml:space="preserve">attraverso collegamento operato nella stanza assegnata ai professionisti delegati presso il Tribunale; </w:t>
      </w:r>
    </w:p>
    <w:p w14:paraId="114C088A" w14:textId="77777777" w:rsidR="00F53EE2" w:rsidRDefault="00AC554B">
      <w:pPr>
        <w:numPr>
          <w:ilvl w:val="0"/>
          <w:numId w:val="15"/>
        </w:numPr>
        <w:ind w:right="75" w:hanging="130"/>
      </w:pPr>
      <w:r>
        <w:t>che le buste telematiche contenenti le o</w:t>
      </w:r>
      <w:r>
        <w:t xml:space="preserve">fferte non siano aperte se non al momento dello svolgimento delle operazioni di vendita telematica sopra indicate; </w:t>
      </w:r>
    </w:p>
    <w:p w14:paraId="2CF03E12" w14:textId="77777777" w:rsidR="00F53EE2" w:rsidRDefault="00AC554B">
      <w:pPr>
        <w:numPr>
          <w:ilvl w:val="0"/>
          <w:numId w:val="15"/>
        </w:numPr>
        <w:ind w:right="75" w:hanging="130"/>
      </w:pPr>
      <w:r>
        <w:t>che la partecipazione degli offerenti alle udienze telematiche abbia luogo tram</w:t>
      </w:r>
      <w:r>
        <w:t xml:space="preserve">ite l’area riservata del portale </w:t>
      </w:r>
      <w:r>
        <w:t>del gestore della vendita te</w:t>
      </w:r>
      <w:r>
        <w:t xml:space="preserve">lematica sopra indicato, accedendo alla stessa con le credenziali personali ed in base alle istruzioni ricevute </w:t>
      </w:r>
      <w:r>
        <w:t>–</w:t>
      </w:r>
      <w:r>
        <w:t xml:space="preserve"> </w:t>
      </w:r>
      <w:r>
        <w:t>almeno trenta minuti prima dell’inizio delle operazioni di vendita –</w:t>
      </w:r>
      <w:r>
        <w:t xml:space="preserve"> con comunicazione effettuata alla casella di posta elettronica certificat</w:t>
      </w:r>
      <w:r>
        <w:t xml:space="preserve">a od alla casella di posta elettronica </w:t>
      </w:r>
      <w:r>
        <w:t>certificata per la vendita telematica utilizzata per trasmettere l’offerta;</w:t>
      </w:r>
      <w:r>
        <w:t xml:space="preserve"> </w:t>
      </w:r>
    </w:p>
    <w:p w14:paraId="178A0B43" w14:textId="77777777" w:rsidR="00F53EE2" w:rsidRDefault="00AC554B">
      <w:pPr>
        <w:numPr>
          <w:ilvl w:val="0"/>
          <w:numId w:val="15"/>
        </w:numPr>
        <w:spacing w:after="133" w:line="259" w:lineRule="auto"/>
        <w:ind w:right="75" w:hanging="130"/>
      </w:pPr>
      <w:r>
        <w:t>che nel giorno e nell’ora fissati per l’esame delle offerte il profession</w:t>
      </w:r>
      <w:r>
        <w:t xml:space="preserve">ista: </w:t>
      </w:r>
    </w:p>
    <w:p w14:paraId="25DED133" w14:textId="77777777" w:rsidR="00F53EE2" w:rsidRDefault="00AC554B">
      <w:pPr>
        <w:numPr>
          <w:ilvl w:val="0"/>
          <w:numId w:val="16"/>
        </w:numPr>
        <w:ind w:right="77" w:hanging="360"/>
      </w:pPr>
      <w:r>
        <w:t>verifichi le offerte formulate e la correttezza e completezz</w:t>
      </w:r>
      <w:r>
        <w:t xml:space="preserve">a delle informazioni e dei documenti richiesti;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verifichi l’effettivo accredito dell’importo comprensivo della cauzione entro i termini sopra indicati;</w:t>
      </w:r>
      <w:r>
        <w:t xml:space="preserve"> </w:t>
      </w:r>
    </w:p>
    <w:p w14:paraId="700C4C6B" w14:textId="77777777" w:rsidR="00F53EE2" w:rsidRDefault="00AC554B">
      <w:pPr>
        <w:numPr>
          <w:ilvl w:val="0"/>
          <w:numId w:val="16"/>
        </w:numPr>
        <w:spacing w:line="354" w:lineRule="auto"/>
        <w:ind w:right="77" w:hanging="360"/>
      </w:pPr>
      <w:r>
        <w:t>proceda conseguentemente all’abilitazione dei partecipanti per l’eventuale gara tramite l’area riser</w:t>
      </w:r>
      <w:r>
        <w:t xml:space="preserve">vata </w:t>
      </w:r>
      <w:r>
        <w:t xml:space="preserve">del sito internet sopra indicato; </w:t>
      </w:r>
    </w:p>
    <w:p w14:paraId="22DC9C3C" w14:textId="77777777" w:rsidR="00F53EE2" w:rsidRDefault="00AC554B">
      <w:pPr>
        <w:numPr>
          <w:ilvl w:val="0"/>
          <w:numId w:val="17"/>
        </w:numPr>
        <w:ind w:right="75" w:hanging="130"/>
      </w:pPr>
      <w:r>
        <w:t>che, in ogni caso, i dati personali di ciascun offerente non siano visibili agli altri offerenti ed alle parti della procedura sino alla chiusura definitiva delle operazioni di vendita telematica e che il gestore del</w:t>
      </w:r>
      <w:r>
        <w:t xml:space="preserve">la vendita telematica proceda a sostituire automaticamente gli stessi con pseudonimi o altri elementi distintivi in grado </w:t>
      </w:r>
      <w:r>
        <w:t>di assicurare l’anonimato;</w:t>
      </w:r>
      <w:r>
        <w:t xml:space="preserve">      </w:t>
      </w:r>
      <w:r>
        <w:rPr>
          <w:b/>
          <w:i/>
          <w:u w:val="single" w:color="000000"/>
        </w:rPr>
        <w:t>Gara tra gli offerenti</w:t>
      </w:r>
      <w:r>
        <w:rPr>
          <w:b/>
          <w:i/>
        </w:rPr>
        <w:t xml:space="preserve"> </w:t>
      </w:r>
      <w:r>
        <w:t xml:space="preserve">     </w:t>
      </w:r>
      <w:r>
        <w:rPr>
          <w:b/>
        </w:rPr>
        <w:t xml:space="preserve">DISPONE: </w:t>
      </w:r>
    </w:p>
    <w:p w14:paraId="04626AEA" w14:textId="77777777" w:rsidR="00F53EE2" w:rsidRDefault="00AC554B">
      <w:pPr>
        <w:numPr>
          <w:ilvl w:val="0"/>
          <w:numId w:val="17"/>
        </w:numPr>
        <w:spacing w:line="354" w:lineRule="auto"/>
        <w:ind w:right="75" w:hanging="130"/>
      </w:pPr>
      <w:r>
        <w:t xml:space="preserve">che la gara tra gli offerenti abbia luogo con la modalità della </w:t>
      </w:r>
      <w:r>
        <w:t xml:space="preserve">gara telematica asincrona sull’offerta più alta </w:t>
      </w:r>
      <w:r>
        <w:t xml:space="preserve">secondo il sistema della </w:t>
      </w:r>
      <w:r>
        <w:rPr>
          <w:b/>
        </w:rPr>
        <w:t xml:space="preserve">UNICA OFFERTA SEGRETA. </w:t>
      </w:r>
    </w:p>
    <w:p w14:paraId="4EAC4090" w14:textId="77777777" w:rsidR="00F53EE2" w:rsidRDefault="00AC554B">
      <w:pPr>
        <w:spacing w:line="354" w:lineRule="auto"/>
        <w:ind w:left="-5" w:right="78"/>
      </w:pPr>
      <w:r>
        <w:t xml:space="preserve">     In particolare: i) i partecipanti ammessi alla gara potranno formulare esclusivamente on-</w:t>
      </w:r>
      <w:r>
        <w:t>line l’offerta in aumento tramite l’area riservata del portale de</w:t>
      </w:r>
      <w:r>
        <w:t>l gestore della vendita telematica</w:t>
      </w:r>
      <w:r>
        <w:rPr>
          <w:color w:val="454545"/>
        </w:rPr>
        <w:t xml:space="preserve">; ii) </w:t>
      </w:r>
      <w:r>
        <w:t xml:space="preserve">ogni partecipante potrà </w:t>
      </w:r>
      <w:r>
        <w:t>formulare un’unica ulteriore offe</w:t>
      </w:r>
      <w:r>
        <w:t xml:space="preserve">rta nel periodo di durata della gara; iii) ogni partecipante potrà conoscere </w:t>
      </w:r>
      <w:r>
        <w:t>l’importo dell’offerta in aumento eventualmente formulata dagli altri partecipanti</w:t>
      </w:r>
      <w:r>
        <w:t xml:space="preserve"> esclusivamente alla scadenza </w:t>
      </w:r>
      <w:r>
        <w:t>del termine di durata della gara;</w:t>
      </w:r>
      <w:r>
        <w:rPr>
          <w:color w:val="454545"/>
        </w:rPr>
        <w:t xml:space="preserve">  </w:t>
      </w:r>
    </w:p>
    <w:p w14:paraId="4135BEF0" w14:textId="77777777" w:rsidR="00F53EE2" w:rsidRDefault="00AC554B">
      <w:pPr>
        <w:numPr>
          <w:ilvl w:val="0"/>
          <w:numId w:val="17"/>
        </w:numPr>
        <w:spacing w:after="133" w:line="259" w:lineRule="auto"/>
        <w:ind w:right="75" w:hanging="130"/>
      </w:pPr>
      <w:r>
        <w:t xml:space="preserve">che la gara abbia la seguente durata: </w:t>
      </w:r>
    </w:p>
    <w:p w14:paraId="45EAC2DF" w14:textId="77777777" w:rsidR="00F53EE2" w:rsidRDefault="00AC554B">
      <w:pPr>
        <w:numPr>
          <w:ilvl w:val="0"/>
          <w:numId w:val="18"/>
        </w:numPr>
        <w:spacing w:after="40"/>
        <w:ind w:right="75" w:hanging="360"/>
      </w:pPr>
      <w:r>
        <w:t xml:space="preserve">la gara avrà inizio nel momento in cui il professionista abbia completato le verifiche di ammissibilità delle offerte e comunque in ogni caso, in un momento temporale successivo alle ore 11.00 del giorno indicato per la vendita, nei locali del Tribunale e </w:t>
      </w:r>
      <w:r>
        <w:t xml:space="preserve">secondo la prenotazione della aula dedicata; </w:t>
      </w:r>
    </w:p>
    <w:p w14:paraId="5A42BC01" w14:textId="77777777" w:rsidR="00F53EE2" w:rsidRDefault="00AC554B">
      <w:pPr>
        <w:numPr>
          <w:ilvl w:val="0"/>
          <w:numId w:val="18"/>
        </w:numPr>
        <w:spacing w:after="106" w:line="259" w:lineRule="auto"/>
        <w:ind w:right="75" w:hanging="360"/>
      </w:pPr>
      <w:r>
        <w:t xml:space="preserve">la gara avrà termine trascorse 24 ore dal momento in cui il professionista ha avviato la gara; </w:t>
      </w:r>
    </w:p>
    <w:p w14:paraId="4D3347C8" w14:textId="77777777" w:rsidR="00F53EE2" w:rsidRDefault="00AC554B">
      <w:pPr>
        <w:numPr>
          <w:ilvl w:val="0"/>
          <w:numId w:val="18"/>
        </w:numPr>
        <w:ind w:right="75" w:hanging="360"/>
      </w:pPr>
      <w:r>
        <w:t xml:space="preserve">la deliberazione finale sulle offerte all’esito della gara avrà luogo, o nel giorno stesso del termine </w:t>
      </w:r>
      <w:r>
        <w:t xml:space="preserve">della gara </w:t>
      </w:r>
      <w:r>
        <w:t xml:space="preserve">o  nel giorno immediatamente successivo alla scadenza del termine sopra indicato, sempre in un momento temporale successivo alle ore 11.00 del giorno indicato e sempre nei locali del Tribunale, secondo disponibilità della aula dedicata; </w:t>
      </w:r>
    </w:p>
    <w:p w14:paraId="4355A031" w14:textId="77777777" w:rsidR="00F53EE2" w:rsidRDefault="00AC554B">
      <w:pPr>
        <w:spacing w:line="354" w:lineRule="auto"/>
        <w:ind w:left="294" w:right="78"/>
      </w:pPr>
      <w:r>
        <w:t>PRECISAZ</w:t>
      </w:r>
      <w:r>
        <w:t>IONI: l’av</w:t>
      </w:r>
      <w:r>
        <w:t>vio della gara è sempre subordinato all’esito delle verifiche preliminari demandate al professionista in punto di ammissibilità dell’offerta ed alla concreta determinazione di avvio operata da quest’ultimo; qualora il termine finale per lo svolgi</w:t>
      </w:r>
      <w:r>
        <w:t>mento dell</w:t>
      </w:r>
      <w:r>
        <w:t>a gara venga a scadere in un giorno festivo, il termine ovrà intendersi automaticamente scadente al primo giorno non festivo successivo;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il professionista non farà coincidere i giorni della gara con il sabato e la domenica; </w:t>
      </w:r>
    </w:p>
    <w:p w14:paraId="46EF5E27" w14:textId="77777777" w:rsidR="00F53EE2" w:rsidRDefault="00AC554B">
      <w:pPr>
        <w:numPr>
          <w:ilvl w:val="0"/>
          <w:numId w:val="19"/>
        </w:numPr>
        <w:ind w:right="75"/>
      </w:pPr>
      <w:r>
        <w:t xml:space="preserve">che, una volta decorso il lasso temporale fissato per lo svolgimento della gara, il gestore della vendita telematica comunichi a tutti i partecipanti la maggiore offerta formulata e comunichi al referente della </w:t>
      </w:r>
      <w:r>
        <w:t>procedura l’elenco delle offerte in aumento</w:t>
      </w:r>
      <w:r>
        <w:t xml:space="preserve"> f</w:t>
      </w:r>
      <w:r>
        <w:t xml:space="preserve">ormulate e di coloro che le abbiano effettuate (ferma la possibilità per il professionista di procedere direttamente al download del report dal sito del gestore);        - che le </w:t>
      </w:r>
      <w:r>
        <w:lastRenderedPageBreak/>
        <w:t>comunicazioni ai partecipanti abbiano luogo tramite posta elettronica certi</w:t>
      </w:r>
      <w:r>
        <w:t>fi</w:t>
      </w:r>
      <w:r>
        <w:t xml:space="preserve">cata all’indirizzo </w:t>
      </w:r>
      <w:r>
        <w:t xml:space="preserve">comunicato dal soggetto partecipante e tramite SMS. </w:t>
      </w:r>
    </w:p>
    <w:p w14:paraId="67FBDCA7" w14:textId="77777777" w:rsidR="00F53EE2" w:rsidRDefault="00AC554B">
      <w:pPr>
        <w:spacing w:after="3" w:line="259" w:lineRule="auto"/>
        <w:ind w:left="-5" w:right="0"/>
      </w:pPr>
      <w:r>
        <w:t xml:space="preserve">     </w:t>
      </w:r>
      <w:r>
        <w:rPr>
          <w:b/>
          <w:i/>
          <w:u w:val="single" w:color="000000"/>
        </w:rPr>
        <w:t>Individuazione della migliore offerta ed eventuale aggiudicazione</w:t>
      </w:r>
      <w:r>
        <w:rPr>
          <w:b/>
          <w:i/>
        </w:rPr>
        <w:t xml:space="preserve"> </w:t>
      </w:r>
    </w:p>
    <w:p w14:paraId="444CCE61" w14:textId="77777777" w:rsidR="00F53EE2" w:rsidRDefault="00AC554B">
      <w:pPr>
        <w:spacing w:after="89" w:line="259" w:lineRule="auto"/>
        <w:ind w:left="298" w:right="0"/>
        <w:jc w:val="left"/>
      </w:pPr>
      <w:r>
        <w:rPr>
          <w:b/>
        </w:rPr>
        <w:t xml:space="preserve">DISPONE: </w:t>
      </w:r>
    </w:p>
    <w:p w14:paraId="519645AA" w14:textId="77777777" w:rsidR="00F53EE2" w:rsidRDefault="00AC554B">
      <w:pPr>
        <w:numPr>
          <w:ilvl w:val="0"/>
          <w:numId w:val="19"/>
        </w:numPr>
        <w:ind w:right="75"/>
      </w:pPr>
      <w:r>
        <w:t>che il professionista delegato proceda all’individuazione della migliore offerta ed all’eve</w:t>
      </w:r>
      <w:r>
        <w:t>ntuale aggi</w:t>
      </w:r>
      <w:r>
        <w:t xml:space="preserve">udicazione in conformità ai criteri sopra indicati in sede di condizioni generali della vendita (cui integralmente si rinvia); </w:t>
      </w:r>
    </w:p>
    <w:p w14:paraId="0CFB7037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250C9F36" w14:textId="77777777" w:rsidR="00F53EE2" w:rsidRDefault="00AC554B">
      <w:pPr>
        <w:spacing w:after="88" w:line="259" w:lineRule="auto"/>
        <w:ind w:left="355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CONDIZIONI GENERALI DELL’ASSEGNAZIONE</w:t>
      </w:r>
      <w:r>
        <w:t xml:space="preserve"> </w:t>
      </w:r>
    </w:p>
    <w:p w14:paraId="70449B0E" w14:textId="77777777" w:rsidR="00F53EE2" w:rsidRDefault="00AC554B">
      <w:pPr>
        <w:spacing w:after="89" w:line="259" w:lineRule="auto"/>
        <w:ind w:left="-5" w:right="0"/>
        <w:jc w:val="left"/>
      </w:pPr>
      <w:r>
        <w:t xml:space="preserve">     </w:t>
      </w:r>
      <w:r>
        <w:rPr>
          <w:b/>
        </w:rPr>
        <w:t xml:space="preserve">DISPONE: </w:t>
      </w:r>
    </w:p>
    <w:p w14:paraId="12FD4A05" w14:textId="77777777" w:rsidR="00F53EE2" w:rsidRDefault="00AC554B">
      <w:pPr>
        <w:numPr>
          <w:ilvl w:val="0"/>
          <w:numId w:val="20"/>
        </w:numPr>
        <w:spacing w:line="354" w:lineRule="auto"/>
        <w:ind w:right="77"/>
      </w:pPr>
      <w:r>
        <w:t>che il professionista delegato provveda sull’istanza di as</w:t>
      </w:r>
      <w:r>
        <w:t xml:space="preserve">segnazione che sia stata depositata nel termine di </w:t>
      </w:r>
      <w:r>
        <w:t xml:space="preserve">cui all’art. 588 c.p.c. qualora ricorra alternativamente una delle seguenti situazioni: i) la vendita non abbia avuto luogo per mancanza totale di </w:t>
      </w:r>
      <w:r>
        <w:t>offerte; ii) la vendita non abbia avuto luogo in quanto l’</w:t>
      </w:r>
      <w:r>
        <w:t xml:space="preserve">unica offerta sia </w:t>
      </w:r>
      <w:r>
        <w:t>stata di importo inferiore al valore d’asta; iii) la vendita non abbia avuto luogo in quanto –</w:t>
      </w:r>
      <w:r>
        <w:t xml:space="preserve"> in presenza di più </w:t>
      </w:r>
      <w:r>
        <w:t>offerte ed anche all’esito della gara tra gli offerenti –</w:t>
      </w:r>
      <w:r>
        <w:t xml:space="preserve"> il prezz</w:t>
      </w:r>
      <w:r>
        <w:t xml:space="preserve">o indicato nella migliore offerta sia inferiore al valore </w:t>
      </w:r>
      <w:r>
        <w:t>d’asta;</w:t>
      </w:r>
      <w:r>
        <w:t xml:space="preserve"> </w:t>
      </w:r>
    </w:p>
    <w:p w14:paraId="1A0D64E1" w14:textId="77777777" w:rsidR="00F53EE2" w:rsidRDefault="00AC554B">
      <w:pPr>
        <w:numPr>
          <w:ilvl w:val="0"/>
          <w:numId w:val="20"/>
        </w:numPr>
        <w:ind w:right="77"/>
      </w:pPr>
      <w:r>
        <w:t>che il professionista delegato provveda: a) ad assegnare al creditore procedente ed ai creditori intervenuti termine di giorni 30 per il deposito di nota analitica di precisazione del credi</w:t>
      </w:r>
      <w:r>
        <w:t xml:space="preserve">to vantato, con indicazione distinta del capitale, degli interessi e delle spese e con indicazione distinta </w:t>
      </w:r>
      <w:r>
        <w:t>–</w:t>
      </w:r>
      <w:r>
        <w:t xml:space="preserve"> </w:t>
      </w:r>
      <w:r>
        <w:t xml:space="preserve">nell’ipotesi di credito assistito da privilegio </w:t>
      </w:r>
      <w:r>
        <w:t xml:space="preserve">ipotecario </w:t>
      </w:r>
      <w:r>
        <w:t>–</w:t>
      </w:r>
      <w:r>
        <w:t xml:space="preserve"> della quota garantita da privilegio e della quota in chirografo; b) a determinare </w:t>
      </w:r>
      <w:r>
        <w:t>–</w:t>
      </w:r>
      <w:r>
        <w:t xml:space="preserve"> n</w:t>
      </w:r>
      <w:r>
        <w:t xml:space="preserve">el termine di 15 giorni dal deposito delle note di precisazione del credito o comunque dalla scadenza del termine assegnato ai creditori </w:t>
      </w:r>
      <w:r>
        <w:t>–</w:t>
      </w:r>
      <w:r>
        <w:t xml:space="preserve"> </w:t>
      </w:r>
      <w:r>
        <w:t xml:space="preserve">l’ammontare forfettario delle spese dovute per il proprio compenso, per il compenso del custode </w:t>
      </w:r>
      <w:r>
        <w:t>giudiziario, per le s</w:t>
      </w:r>
      <w:r>
        <w:t xml:space="preserve">pese conseguenti alla pronuncia del decreto di trasferimento ed in generale per le spese </w:t>
      </w:r>
      <w:r>
        <w:t>della procedura eventualmente dovute, nonché l’ammontare del conguaglio eventualmente dovuto dall’assegnatario; c) ad assegnare al soggetto istante termine di 60 giorn</w:t>
      </w:r>
      <w:r>
        <w:t xml:space="preserve">i dalla comunicazione per il versamento </w:t>
      </w:r>
      <w:r>
        <w:t xml:space="preserve">delle spese </w:t>
      </w:r>
      <w:r>
        <w:t xml:space="preserve">come sopra determinate e dell’eventuale conguaglio dovuto; d) a trasmettere al giudice gli atti per </w:t>
      </w:r>
      <w:r>
        <w:t>la pronuncia del decreto di trasferimento unitamente alla documentazione sopra acquisita ed alla ulterio</w:t>
      </w:r>
      <w:r>
        <w:t xml:space="preserve">re documentazione necessaria per la pronuncia del decreto ex art. 586 c.p.c. </w:t>
      </w:r>
    </w:p>
    <w:p w14:paraId="0EE3D505" w14:textId="77777777" w:rsidR="00F53EE2" w:rsidRDefault="00AC554B">
      <w:pPr>
        <w:spacing w:after="121" w:line="259" w:lineRule="auto"/>
        <w:ind w:left="0" w:right="0" w:firstLine="0"/>
        <w:jc w:val="left"/>
      </w:pPr>
      <w:r>
        <w:t xml:space="preserve">  </w:t>
      </w:r>
    </w:p>
    <w:p w14:paraId="556FED04" w14:textId="77777777" w:rsidR="00F53EE2" w:rsidRDefault="00AC554B">
      <w:pPr>
        <w:spacing w:after="3" w:line="358" w:lineRule="auto"/>
        <w:ind w:left="-15" w:right="5975" w:firstLine="360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PUBBLICITA’ LEGALE</w:t>
      </w:r>
      <w:r>
        <w:rPr>
          <w:b/>
        </w:rPr>
        <w:t xml:space="preserve"> </w:t>
      </w:r>
      <w:r>
        <w:t xml:space="preserve">     </w:t>
      </w:r>
      <w:r>
        <w:rPr>
          <w:b/>
        </w:rPr>
        <w:t xml:space="preserve">DISPONE: </w:t>
      </w:r>
      <w:r>
        <w:rPr>
          <w:b/>
          <w:i/>
        </w:rPr>
        <w:t xml:space="preserve">     </w:t>
      </w:r>
      <w:r>
        <w:rPr>
          <w:b/>
          <w:i/>
          <w:u w:val="single" w:color="000000"/>
        </w:rPr>
        <w:t>contenuto e termini della pubblicità</w:t>
      </w:r>
      <w:r>
        <w:rPr>
          <w:b/>
          <w:i/>
        </w:rPr>
        <w:t xml:space="preserve"> </w:t>
      </w:r>
    </w:p>
    <w:p w14:paraId="41E4A83E" w14:textId="77777777" w:rsidR="00F53EE2" w:rsidRDefault="00AC554B">
      <w:pPr>
        <w:spacing w:after="87" w:line="259" w:lineRule="auto"/>
        <w:ind w:left="-5" w:right="78"/>
      </w:pPr>
      <w:r>
        <w:t xml:space="preserve">     - </w:t>
      </w:r>
      <w:r>
        <w:t>che l’avviso di vendita sia reso pubblico con le forme di seguito indicate:</w:t>
      </w:r>
      <w:r>
        <w:t xml:space="preserve"> </w:t>
      </w:r>
    </w:p>
    <w:p w14:paraId="7C171AAD" w14:textId="77777777" w:rsidR="00F53EE2" w:rsidRDefault="00AC554B">
      <w:pPr>
        <w:numPr>
          <w:ilvl w:val="0"/>
          <w:numId w:val="21"/>
        </w:numPr>
        <w:spacing w:line="354" w:lineRule="auto"/>
        <w:ind w:right="78"/>
      </w:pPr>
      <w:r>
        <w:t xml:space="preserve">inserimento sul </w:t>
      </w:r>
      <w:r>
        <w:rPr>
          <w:b/>
        </w:rPr>
        <w:t>“portale delle vendite pubbliche”</w:t>
      </w:r>
      <w:r>
        <w:t xml:space="preserve"> dei seguenti documenti: un avviso contenente la </w:t>
      </w:r>
      <w:r>
        <w:t>descrizione dell’immobile posto in vendita (da redigersi secondo i crite</w:t>
      </w:r>
      <w:r>
        <w:t xml:space="preserve">ri della </w:t>
      </w:r>
      <w:r>
        <w:t xml:space="preserve">pubblicità commerciale), il valore </w:t>
      </w:r>
      <w:r>
        <w:t>d’asta e l’offerta minima, il termine per la presentazione delle offerte e la data fissata per la vendita; copia dell’ordinanza di vendita e copia dell’avviso di vendita redatto dal professionista delegato epurat</w:t>
      </w:r>
      <w:r>
        <w:t>i dei rif</w:t>
      </w:r>
      <w:r>
        <w:t xml:space="preserve">erimenti </w:t>
      </w:r>
      <w:r>
        <w:t xml:space="preserve">alla persona dell’esecutato; la planimetria del bene posto in vendita (se risultante dalla perizia); un numero </w:t>
      </w:r>
      <w:r>
        <w:t>congruo di fotografie del bene posto in vendita; con indicazione dei siti internet ove saranno disponibili in dettaglio tutte le altre n</w:t>
      </w:r>
      <w:r>
        <w:t xml:space="preserve">ecessarie informazioni per partecipare alla vendita e del nominativo del custode giudiziario; </w:t>
      </w:r>
    </w:p>
    <w:p w14:paraId="1D675BFB" w14:textId="77777777" w:rsidR="00F53EE2" w:rsidRDefault="00AC554B">
      <w:pPr>
        <w:numPr>
          <w:ilvl w:val="0"/>
          <w:numId w:val="21"/>
        </w:numPr>
        <w:spacing w:line="354" w:lineRule="auto"/>
        <w:ind w:right="78"/>
      </w:pPr>
      <w:r>
        <w:t xml:space="preserve">inserimento dell’ordinanza di vendita, dell’avviso di vendita e della relazione di stima (comprensiva di </w:t>
      </w:r>
      <w:r>
        <w:t>fotografie e planimetrie) su rete internet al</w:t>
      </w:r>
      <w:r>
        <w:t>l’indirizzo</w:t>
      </w:r>
      <w:r>
        <w:t xml:space="preserve"> www.astegiudiziarie.it </w:t>
      </w:r>
      <w:r>
        <w:rPr>
          <w:b/>
        </w:rPr>
        <w:t>almeno quarantacinque (45) giorni prima</w:t>
      </w:r>
      <w:r>
        <w:t xml:space="preserve"> della scadenza del termine per la presentazione delle offerte di acquisto; </w:t>
      </w:r>
    </w:p>
    <w:p w14:paraId="21406CD9" w14:textId="77777777" w:rsidR="00F53EE2" w:rsidRDefault="00AC554B">
      <w:pPr>
        <w:numPr>
          <w:ilvl w:val="0"/>
          <w:numId w:val="21"/>
        </w:numPr>
        <w:ind w:right="78"/>
      </w:pPr>
      <w:r>
        <w:lastRenderedPageBreak/>
        <w:t xml:space="preserve">invio </w:t>
      </w:r>
      <w:r>
        <w:rPr>
          <w:b/>
        </w:rPr>
        <w:t>almeno venti (20) giorni prima</w:t>
      </w:r>
      <w:r>
        <w:t xml:space="preserve"> della scadenza del termine per la presentazione delle offerte di acquisto di n.</w:t>
      </w:r>
      <w:r>
        <w:t xml:space="preserve"> 500 missive pubblicitarie con il sistema Postaltarget a residenti nella zona in cui è ubicato </w:t>
      </w:r>
      <w:r>
        <w:t>l’immobile da porre in vendita;</w:t>
      </w:r>
      <w:r>
        <w:t xml:space="preserve"> </w:t>
      </w:r>
    </w:p>
    <w:p w14:paraId="3F9C914E" w14:textId="77777777" w:rsidR="00F53EE2" w:rsidRDefault="00AC554B">
      <w:pPr>
        <w:numPr>
          <w:ilvl w:val="0"/>
          <w:numId w:val="21"/>
        </w:numPr>
        <w:spacing w:line="354" w:lineRule="auto"/>
        <w:ind w:right="78"/>
      </w:pPr>
      <w:r>
        <w:t xml:space="preserve">pubblicazione </w:t>
      </w:r>
      <w:r>
        <w:t>–</w:t>
      </w:r>
      <w:r>
        <w:t xml:space="preserve"> </w:t>
      </w:r>
      <w:r>
        <w:t>tramite il sistema “Rete Aste Real Estate” sui siti Internet Casa.it e Idealista.it –</w:t>
      </w:r>
      <w:r>
        <w:t xml:space="preserve"> </w:t>
      </w:r>
      <w:r>
        <w:rPr>
          <w:b/>
        </w:rPr>
        <w:t>almeno quaranta (40) giorn</w:t>
      </w:r>
      <w:r>
        <w:rPr>
          <w:b/>
        </w:rPr>
        <w:t>i prima</w:t>
      </w:r>
      <w:r>
        <w:t xml:space="preserve"> della data fissata per la vendita di un avviso contenente in modo sintetico e </w:t>
      </w:r>
      <w:r>
        <w:t>riassuntivo la descrizione dell’immobile posto in vendita ed il valore d’asta e l’offert</w:t>
      </w:r>
      <w:r>
        <w:t xml:space="preserve">a minima; </w:t>
      </w:r>
    </w:p>
    <w:p w14:paraId="747F3A52" w14:textId="77777777" w:rsidR="00F53EE2" w:rsidRDefault="00AC554B">
      <w:pPr>
        <w:numPr>
          <w:ilvl w:val="0"/>
          <w:numId w:val="21"/>
        </w:numPr>
        <w:spacing w:line="354" w:lineRule="auto"/>
        <w:ind w:right="78"/>
      </w:pPr>
      <w:r>
        <w:t>pubblicazione dell’annuncio di vendita, negli ulteriori canali di pubbl</w:t>
      </w:r>
      <w:r>
        <w:t xml:space="preserve">icità complementare online, sulle </w:t>
      </w:r>
      <w:r>
        <w:t>pagine social Facebook e Instagram;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D4596" w14:textId="77777777" w:rsidR="00F53EE2" w:rsidRDefault="00AC554B">
      <w:pPr>
        <w:numPr>
          <w:ilvl w:val="1"/>
          <w:numId w:val="21"/>
        </w:numPr>
        <w:ind w:right="75" w:hanging="127"/>
      </w:pPr>
      <w:r>
        <w:t xml:space="preserve">che ogni ulteriore adempimento pubblicitario debba essere preventivamente autorizzato dal giudice;      </w:t>
      </w:r>
      <w:r>
        <w:rPr>
          <w:b/>
          <w:i/>
          <w:u w:val="single" w:color="000000"/>
        </w:rPr>
        <w:t>modalità operative della richiesta di pubblicità</w:t>
      </w:r>
      <w:r>
        <w:rPr>
          <w:b/>
          <w:i/>
        </w:rPr>
        <w:t xml:space="preserve"> </w:t>
      </w:r>
    </w:p>
    <w:p w14:paraId="5C93779D" w14:textId="77777777" w:rsidR="00F53EE2" w:rsidRDefault="00AC554B">
      <w:pPr>
        <w:numPr>
          <w:ilvl w:val="1"/>
          <w:numId w:val="21"/>
        </w:numPr>
        <w:spacing w:after="40"/>
        <w:ind w:right="75" w:hanging="127"/>
      </w:pPr>
      <w:r>
        <w:t xml:space="preserve">che tutti gli adempimenti pubblicitari sopra indicati siano eseguiti a cura del professionista delegato;      - che, in particolare, sotto il profilo operativo il professionista delegato proceda come segue: </w:t>
      </w:r>
    </w:p>
    <w:p w14:paraId="20609FFF" w14:textId="77777777" w:rsidR="00F53EE2" w:rsidRDefault="00AC554B">
      <w:pPr>
        <w:numPr>
          <w:ilvl w:val="1"/>
          <w:numId w:val="22"/>
        </w:numPr>
        <w:spacing w:after="40"/>
        <w:ind w:right="75" w:hanging="360"/>
      </w:pPr>
      <w:r>
        <w:t>per la pubblicità sul portale delle vendite pubb</w:t>
      </w:r>
      <w:r>
        <w:t xml:space="preserve">liche, il custode/professionista procederà agli adempimenti necessari almeno </w:t>
      </w:r>
      <w:r>
        <w:rPr>
          <w:b/>
        </w:rPr>
        <w:t>settanta (70) giorni</w:t>
      </w:r>
      <w:r>
        <w:t xml:space="preserve"> </w:t>
      </w:r>
      <w:r>
        <w:rPr>
          <w:b/>
        </w:rPr>
        <w:t>prima del termine fissato per la presentazione delle offerte</w:t>
      </w:r>
      <w:r>
        <w:t xml:space="preserve">; </w:t>
      </w:r>
    </w:p>
    <w:p w14:paraId="35E6CAEF" w14:textId="77777777" w:rsidR="00F53EE2" w:rsidRDefault="00AC554B">
      <w:pPr>
        <w:numPr>
          <w:ilvl w:val="1"/>
          <w:numId w:val="22"/>
        </w:numPr>
        <w:ind w:right="75" w:hanging="360"/>
      </w:pPr>
      <w:r>
        <w:t>per le altre forme di pubblicità sopra indicate, professionista delegato procederà mediante ric</w:t>
      </w:r>
      <w:r>
        <w:t>hiesta alla seguente società di servizi: ASTE GIUDIZIARIE INLINEA S.P.A., facendo pervenire alla stessa la documentazione di cui sopra (avviso di vendita, ordinanza ex art. 569 c.p.c. e relazione di stima comprensiva di fotografie e planimetrie), insieme c</w:t>
      </w:r>
      <w:r>
        <w:t xml:space="preserve">on il modulo di richiesta servizi completato a  sua cura, almeno settanta (70) giorni prima del termine per la presentazione delle offerte, con le seguenti modalità alternative: e-mail all'indirizzo </w:t>
      </w:r>
      <w:r>
        <w:rPr>
          <w:color w:val="0000FF"/>
          <w:u w:val="single" w:color="0000FF"/>
        </w:rPr>
        <w:t>pubblicazione@astegiudiziarie.it</w:t>
      </w:r>
      <w:r>
        <w:t>; tramite l’apposita piat</w:t>
      </w:r>
      <w:r>
        <w:t xml:space="preserve">taforma di “Richiesta online servizi” disponibile nell’area riservata del sito </w:t>
      </w:r>
      <w:hyperlink r:id="rId10">
        <w:r>
          <w:rPr>
            <w:color w:val="0000FF"/>
            <w:u w:val="single" w:color="0000FF"/>
          </w:rPr>
          <w:t>www.astegiudiziarie.it</w:t>
        </w:r>
      </w:hyperlink>
      <w:hyperlink r:id="rId11">
        <w:r>
          <w:t>;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consegna a mano al referente di Aste Giudiziarie presso la cancelleria esecuzioni immobiliari; </w:t>
      </w:r>
    </w:p>
    <w:p w14:paraId="72040FBC" w14:textId="77777777" w:rsidR="00F53EE2" w:rsidRDefault="00AC554B">
      <w:pPr>
        <w:numPr>
          <w:ilvl w:val="1"/>
          <w:numId w:val="21"/>
        </w:numPr>
        <w:ind w:right="75" w:hanging="127"/>
      </w:pPr>
      <w:r>
        <w:t xml:space="preserve">che il testo dell’avviso di vendita inserito per estratto sul quotidiano (laddove previsto) sia redatto dalla </w:t>
      </w:r>
      <w:r>
        <w:t>società Aste Giudiziarie Inlinea S.p.A. e controllato ed approvato dal custode/professionista e contenga, in particolare unica</w:t>
      </w:r>
      <w:r>
        <w:t>mente i seguenti dat</w:t>
      </w:r>
      <w:r>
        <w:t xml:space="preserve">i: numero di ruolo della procedura, nome del giudice dell’esecuzione e del </w:t>
      </w:r>
      <w:r>
        <w:t xml:space="preserve">professionista delegato ex art. 591-bis c.p.c., ubicazione e tipologia del bene, descrizione sommaria del bene, </w:t>
      </w:r>
      <w:r>
        <w:t>valore d’asta del bene, offerta minima per l’aggi</w:t>
      </w:r>
      <w:r>
        <w:t>udicazione, data e o</w:t>
      </w:r>
      <w:r>
        <w:t xml:space="preserve">ra della vendita, luogo della vendita, nome e recapito telefonico del custode giudiziario, dove reperire maggiori informazioni (cancelleria, siti internet).      - che sulla pubblicità cartacea (laddove prevista) siano omessi in ogni caso i dati catastali </w:t>
      </w:r>
      <w:r>
        <w:t>e i confini del bene nonché il nome del debitore</w:t>
      </w:r>
      <w:r>
        <w:rPr>
          <w:b/>
        </w:rPr>
        <w:t xml:space="preserve">. </w:t>
      </w:r>
    </w:p>
    <w:p w14:paraId="20DC8221" w14:textId="77777777" w:rsidR="00F53EE2" w:rsidRDefault="00AC554B">
      <w:pPr>
        <w:numPr>
          <w:ilvl w:val="1"/>
          <w:numId w:val="21"/>
        </w:numPr>
        <w:spacing w:after="133" w:line="259" w:lineRule="auto"/>
        <w:ind w:right="75" w:hanging="127"/>
      </w:pPr>
      <w:r>
        <w:t xml:space="preserve">che il professionista delegato abbia cura, sotto la propria responsabilità, di: </w:t>
      </w:r>
    </w:p>
    <w:p w14:paraId="4678F5F1" w14:textId="77777777" w:rsidR="00F53EE2" w:rsidRDefault="00AC554B">
      <w:pPr>
        <w:numPr>
          <w:ilvl w:val="1"/>
          <w:numId w:val="23"/>
        </w:numPr>
        <w:spacing w:after="40"/>
        <w:ind w:right="75" w:hanging="360"/>
      </w:pPr>
      <w:r>
        <w:t>trasmettere la documentazione da pubblicare su internet preventivamente epurata dall'indicazione delle generalità del debito</w:t>
      </w:r>
      <w:r>
        <w:t>re e di ogni altro dato personale idoneo a rivelare l'identità di quest'ultimo e di eventuali soggetti terzi non previsto dalla legge e comunque eccedente e non pertinente rispetto alle procedure di vendita in corso, come disposto nel provvedimento del Gar</w:t>
      </w:r>
      <w:r>
        <w:t>ante per la protezione dei dati personali in data 07/02/2008;</w:t>
      </w:r>
      <w:r>
        <w:rPr>
          <w:b/>
        </w:rPr>
        <w:t xml:space="preserve"> </w:t>
      </w:r>
    </w:p>
    <w:p w14:paraId="2980031B" w14:textId="77777777" w:rsidR="00F53EE2" w:rsidRDefault="00AC554B">
      <w:pPr>
        <w:numPr>
          <w:ilvl w:val="1"/>
          <w:numId w:val="23"/>
        </w:numPr>
        <w:spacing w:after="49" w:line="354" w:lineRule="auto"/>
        <w:ind w:right="75" w:hanging="360"/>
      </w:pPr>
      <w:r>
        <w:t>ove il creditore procedente sia un istituto di credito, acquisire e poi precisare all’interno del “modulo di pubblicazione” per ogni singola richiesta di pubblicità, alm</w:t>
      </w:r>
      <w:r>
        <w:t>eno uno dei seguenti rif</w:t>
      </w:r>
      <w:r>
        <w:t xml:space="preserve">erimenti interni bancari: NDG/BIP/FG - numero sofferenza - </w:t>
      </w:r>
      <w:r>
        <w:t xml:space="preserve">gestore del procedimento, nonché l’esatta e completa anagrafica dell’istituto di credito, previamente confermata di volta in volta dal legale del creditore </w:t>
      </w:r>
      <w:r>
        <w:t>procedente;</w:t>
      </w:r>
      <w:r>
        <w:rPr>
          <w:b/>
        </w:rPr>
        <w:t xml:space="preserve"> </w:t>
      </w:r>
    </w:p>
    <w:p w14:paraId="2F03F382" w14:textId="77777777" w:rsidR="00F53EE2" w:rsidRDefault="00AC554B">
      <w:pPr>
        <w:numPr>
          <w:ilvl w:val="1"/>
          <w:numId w:val="23"/>
        </w:numPr>
        <w:spacing w:after="40"/>
        <w:ind w:right="75" w:hanging="360"/>
      </w:pPr>
      <w:r>
        <w:t>verificare la correttezza de</w:t>
      </w:r>
      <w:r>
        <w:t xml:space="preserve">lla pubblicità su internet e su carta stampata, richiedendo il più presto possibile alla società Aste Giudiziarie Inlinea S.p.A. eventuali modifiche da effettuare; </w:t>
      </w:r>
    </w:p>
    <w:p w14:paraId="45A18DC1" w14:textId="77777777" w:rsidR="00F53EE2" w:rsidRDefault="00AC554B">
      <w:pPr>
        <w:numPr>
          <w:ilvl w:val="1"/>
          <w:numId w:val="23"/>
        </w:numPr>
        <w:spacing w:after="40"/>
        <w:ind w:right="75" w:hanging="360"/>
      </w:pPr>
      <w:r>
        <w:lastRenderedPageBreak/>
        <w:t xml:space="preserve">inserire sul PVP, entro il giorno successivo a ciascun esperimento di vendita, l’esito del </w:t>
      </w:r>
      <w:r>
        <w:t xml:space="preserve">medesimo, </w:t>
      </w:r>
      <w:r>
        <w:t xml:space="preserve">avendo cura di specificare in caso di aggiudicazione anche il prezzo a cui è stato aggiudicato il bene;  </w:t>
      </w:r>
    </w:p>
    <w:p w14:paraId="61C8028C" w14:textId="77777777" w:rsidR="00F53EE2" w:rsidRDefault="00AC554B">
      <w:pPr>
        <w:numPr>
          <w:ilvl w:val="1"/>
          <w:numId w:val="23"/>
        </w:numPr>
        <w:ind w:right="75" w:hanging="360"/>
      </w:pPr>
      <w:r>
        <w:t xml:space="preserve">che il professionista delegato provveda a scaricare dalla sua area riservata sul PVP il giorno il giorno </w:t>
      </w:r>
      <w:r>
        <w:t>prima della data fissata per la ven</w:t>
      </w:r>
      <w:r>
        <w:t xml:space="preserve">dita la documentazione attestante l’avvenuta pubblicità sul PVP e </w:t>
      </w:r>
      <w:r>
        <w:t xml:space="preserve">sui siti internet di pubblicità ex art. 490 c.2 c.p.c. </w:t>
      </w:r>
    </w:p>
    <w:p w14:paraId="5116A21B" w14:textId="77777777" w:rsidR="00F53EE2" w:rsidRDefault="00AC554B">
      <w:pPr>
        <w:tabs>
          <w:tab w:val="center" w:pos="402"/>
          <w:tab w:val="center" w:pos="720"/>
        </w:tabs>
        <w:spacing w:after="1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6C55B934" w14:textId="77777777" w:rsidR="00F53EE2" w:rsidRDefault="00AC554B">
      <w:pPr>
        <w:numPr>
          <w:ilvl w:val="1"/>
          <w:numId w:val="23"/>
        </w:numPr>
        <w:ind w:right="75" w:hanging="360"/>
      </w:pPr>
      <w:r>
        <w:t xml:space="preserve">- che il professionista delegato acquisisca dal custode giudiziario (se soggetto diverso) entro la data </w:t>
      </w:r>
      <w:r>
        <w:t>fissata per la vendita l</w:t>
      </w:r>
      <w:r>
        <w:t xml:space="preserve">a documentazione attestante l’avvenuta pubblicità </w:t>
      </w:r>
      <w:r>
        <w:t xml:space="preserve">commerciale ex art. 490 c.3 c.p.c. e che, in ogni caso, i singoli creditori e gli offerenti abbiano la facoltà di depositare la suddetta documentazione il giorno fissato per la vendita. </w:t>
      </w:r>
    </w:p>
    <w:p w14:paraId="2FAEE01A" w14:textId="77777777" w:rsidR="00F53EE2" w:rsidRDefault="00AC554B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62D8019C" w14:textId="77777777" w:rsidR="00F53EE2" w:rsidRDefault="00AC554B">
      <w:pPr>
        <w:tabs>
          <w:tab w:val="center" w:pos="1034"/>
        </w:tabs>
        <w:spacing w:after="89" w:line="259" w:lineRule="auto"/>
        <w:ind w:left="-15" w:right="0" w:firstLine="0"/>
        <w:jc w:val="left"/>
      </w:pPr>
      <w:r>
        <w:rPr>
          <w:b/>
        </w:rPr>
        <w:t xml:space="preserve">5. </w:t>
      </w:r>
      <w:r>
        <w:rPr>
          <w:b/>
        </w:rPr>
        <w:tab/>
        <w:t xml:space="preserve">VISITE </w:t>
      </w:r>
    </w:p>
    <w:p w14:paraId="13C2B868" w14:textId="77777777" w:rsidR="00F53EE2" w:rsidRDefault="00AC554B">
      <w:pPr>
        <w:spacing w:after="87" w:line="259" w:lineRule="auto"/>
        <w:ind w:left="-5" w:right="75"/>
      </w:pPr>
      <w:r>
        <w:t xml:space="preserve">DISPONE, letto art. 560 c.p.c.: </w:t>
      </w:r>
    </w:p>
    <w:p w14:paraId="3029357D" w14:textId="77777777" w:rsidR="00F53EE2" w:rsidRDefault="00AC554B">
      <w:pPr>
        <w:ind w:left="-5" w:right="75"/>
      </w:pPr>
      <w:r>
        <w:t xml:space="preserve">Il custode dovrà adoperarsi affinché gli interessati a presentare offerta di acquisto esaminino i beni in vendita, a tal fine: </w:t>
      </w:r>
    </w:p>
    <w:p w14:paraId="37F5CFBB" w14:textId="77777777" w:rsidR="00F53EE2" w:rsidRDefault="00AC554B">
      <w:pPr>
        <w:numPr>
          <w:ilvl w:val="0"/>
          <w:numId w:val="24"/>
        </w:numPr>
        <w:ind w:right="77" w:hanging="708"/>
      </w:pPr>
      <w:r>
        <w:t>il custode dovrà evadere la richiesta in un termine ragionevole dalla formulazione della stessa</w:t>
      </w:r>
      <w:r>
        <w:t xml:space="preserve"> e comunque in ogni caso nel termine massimo di giorni 15;   </w:t>
      </w:r>
    </w:p>
    <w:p w14:paraId="6C2F122C" w14:textId="77777777" w:rsidR="00F53EE2" w:rsidRDefault="00AC554B">
      <w:pPr>
        <w:numPr>
          <w:ilvl w:val="0"/>
          <w:numId w:val="24"/>
        </w:numPr>
        <w:spacing w:line="354" w:lineRule="auto"/>
        <w:ind w:right="77" w:hanging="708"/>
      </w:pPr>
      <w:r>
        <w:t xml:space="preserve">il custode dovrà programmare le visite scadenzando giorni ed orari per ogni singolo richiedente </w:t>
      </w:r>
      <w:r>
        <w:t>evitando che gli offerenti si possano incrociare anche solo alla fine o all’inizio di ciascuna vis</w:t>
      </w:r>
      <w:r>
        <w:t>ita.</w:t>
      </w:r>
      <w:r>
        <w:t xml:space="preserve"> </w:t>
      </w:r>
    </w:p>
    <w:p w14:paraId="64D908A2" w14:textId="77777777" w:rsidR="00F53EE2" w:rsidRDefault="00AC554B">
      <w:pPr>
        <w:numPr>
          <w:ilvl w:val="0"/>
          <w:numId w:val="24"/>
        </w:numPr>
        <w:ind w:right="77" w:hanging="708"/>
      </w:pPr>
      <w:r>
        <w:t xml:space="preserve">il custode, anche durante la visita, dovrà adottare opportune cautele affinchè l’identità di ciascun </w:t>
      </w:r>
      <w:r>
        <w:t xml:space="preserve">offerente non sia resa nota ad alcuno, tranne che al custode stesso, specialmente ove il bene sia ancora materialmente occupato; </w:t>
      </w:r>
    </w:p>
    <w:p w14:paraId="752D295B" w14:textId="77777777" w:rsidR="00F53EE2" w:rsidRDefault="00AC554B">
      <w:pPr>
        <w:numPr>
          <w:ilvl w:val="0"/>
          <w:numId w:val="24"/>
        </w:numPr>
        <w:spacing w:after="89" w:line="259" w:lineRule="auto"/>
        <w:ind w:right="77" w:hanging="708"/>
      </w:pPr>
      <w:r>
        <w:t>il custode sarà l’u</w:t>
      </w:r>
      <w:r>
        <w:t>nico, oltre il GE, ad avere accesso al nominativo degli interessati alla visita;</w:t>
      </w:r>
      <w:r>
        <w:t xml:space="preserve"> </w:t>
      </w:r>
    </w:p>
    <w:p w14:paraId="60988796" w14:textId="77777777" w:rsidR="00F53EE2" w:rsidRDefault="00AC554B">
      <w:pPr>
        <w:spacing w:after="87" w:line="259" w:lineRule="auto"/>
        <w:ind w:left="-5" w:right="78"/>
      </w:pPr>
      <w:r>
        <w:t xml:space="preserve">Il tutto ad integrazione di quanto già stabilito </w:t>
      </w:r>
      <w:r>
        <w:t>nell’incarico del custode ( sezione B, paragrafo 4)</w:t>
      </w:r>
      <w:r>
        <w:t xml:space="preserve">  </w:t>
      </w:r>
    </w:p>
    <w:p w14:paraId="56966553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</w:t>
      </w:r>
    </w:p>
    <w:p w14:paraId="62BA0734" w14:textId="77777777" w:rsidR="00F53EE2" w:rsidRDefault="00AC554B">
      <w:pPr>
        <w:spacing w:after="0" w:line="358" w:lineRule="auto"/>
        <w:ind w:left="0" w:right="1498" w:firstLine="0"/>
        <w:jc w:val="left"/>
      </w:pPr>
      <w:r>
        <w:t xml:space="preserve">     </w:t>
      </w:r>
      <w:r>
        <w:t xml:space="preserve">Il giudice dell’esecuzione, dott. </w:t>
      </w:r>
      <w:r>
        <w:t xml:space="preserve">Linda  Catagna,      </w:t>
      </w:r>
      <w:r>
        <w:rPr>
          <w:b/>
        </w:rPr>
        <w:t xml:space="preserve">DELEGA  </w:t>
      </w:r>
      <w:r>
        <w:t xml:space="preserve">     il medesimo professionista per gli </w:t>
      </w:r>
      <w:r>
        <w:rPr>
          <w:b/>
        </w:rPr>
        <w:t>adempimenti successivi alla vendita</w:t>
      </w:r>
      <w:r>
        <w:t xml:space="preserve"> </w:t>
      </w:r>
      <w:r>
        <w:t>e per l’effetto:</w:t>
      </w:r>
      <w:r>
        <w:t xml:space="preserve">      </w:t>
      </w:r>
      <w:r>
        <w:rPr>
          <w:b/>
        </w:rPr>
        <w:t>DISPONE</w:t>
      </w:r>
      <w:r>
        <w:t xml:space="preserve">      </w:t>
      </w:r>
      <w:r>
        <w:t>che lo stesso si attenga, nello svolgimento dell’incarico, alle indicazioni di seguito indicate.</w:t>
      </w:r>
      <w:r>
        <w:t xml:space="preserve"> </w:t>
      </w:r>
    </w:p>
    <w:p w14:paraId="15B33EDE" w14:textId="77777777" w:rsidR="00F53EE2" w:rsidRDefault="00AC554B">
      <w:pPr>
        <w:spacing w:after="88" w:line="259" w:lineRule="auto"/>
        <w:ind w:left="-5" w:right="75"/>
      </w:pPr>
      <w:r>
        <w:t xml:space="preserve">     Il professionista delegato: </w:t>
      </w:r>
    </w:p>
    <w:p w14:paraId="187F907C" w14:textId="77777777" w:rsidR="00F53EE2" w:rsidRDefault="00AC554B">
      <w:pPr>
        <w:numPr>
          <w:ilvl w:val="0"/>
          <w:numId w:val="24"/>
        </w:numPr>
        <w:ind w:right="77" w:hanging="708"/>
      </w:pPr>
      <w:r>
        <w:t xml:space="preserve">acquisirà informazioni in ordine al regime patrimoniale della famiglia dell’aggiudicatario, se coniugato, </w:t>
      </w:r>
      <w:r>
        <w:t>alla sussistenza d</w:t>
      </w:r>
      <w:r>
        <w:t xml:space="preserve">i presupposti per eventuali agevolazioni fiscali e alle modalità di pagamento del prezzo, con particolare riferimento alla possibilità di mutuo; </w:t>
      </w:r>
    </w:p>
    <w:p w14:paraId="70D6A39C" w14:textId="77777777" w:rsidR="00F53EE2" w:rsidRDefault="00AC554B">
      <w:pPr>
        <w:numPr>
          <w:ilvl w:val="0"/>
          <w:numId w:val="24"/>
        </w:numPr>
        <w:spacing w:line="354" w:lineRule="auto"/>
        <w:ind w:right="77" w:hanging="708"/>
      </w:pPr>
      <w:r>
        <w:t xml:space="preserve">comunicherà all’aggiudicatario in sede di aggiudicazione il termine finale di tale versamento </w:t>
      </w:r>
      <w:r>
        <w:t>e le modalità pe</w:t>
      </w:r>
      <w:r>
        <w:t xml:space="preserve">r effettuare il pagamento; </w:t>
      </w:r>
    </w:p>
    <w:p w14:paraId="754F8B35" w14:textId="77777777" w:rsidR="00F53EE2" w:rsidRDefault="00AC554B">
      <w:pPr>
        <w:numPr>
          <w:ilvl w:val="0"/>
          <w:numId w:val="24"/>
        </w:numPr>
        <w:spacing w:line="354" w:lineRule="auto"/>
        <w:ind w:right="77" w:hanging="708"/>
      </w:pPr>
      <w:r>
        <w:t xml:space="preserve">aggiornerà le visure ipotecarie al fine di verificare l’esistenza di eventuali iscrizioni o trascrizioni successive </w:t>
      </w:r>
      <w:r>
        <w:t xml:space="preserve">al pignoramento; </w:t>
      </w:r>
    </w:p>
    <w:p w14:paraId="079C740E" w14:textId="77777777" w:rsidR="00F53EE2" w:rsidRDefault="00AC554B">
      <w:pPr>
        <w:numPr>
          <w:ilvl w:val="0"/>
          <w:numId w:val="24"/>
        </w:numPr>
        <w:spacing w:line="354" w:lineRule="auto"/>
        <w:ind w:right="77" w:hanging="708"/>
      </w:pPr>
      <w:r>
        <w:t>aggiornerà le visure catastali al fine di verificare l’esistenza di eventuali modificazioni in</w:t>
      </w:r>
      <w:r>
        <w:t xml:space="preserve">tervenute; </w:t>
      </w:r>
      <w:r>
        <w:t xml:space="preserve">      - </w:t>
      </w:r>
      <w:r>
        <w:t xml:space="preserve">provvederà altresì a verificare l’esatto versamento del saldo prezzo e degli oneri dovuti nei termini sopra </w:t>
      </w:r>
      <w:r>
        <w:t xml:space="preserve">precisati, nonché il deposito della dichiarazione antiriciclaggio;  </w:t>
      </w:r>
    </w:p>
    <w:p w14:paraId="181D040C" w14:textId="77777777" w:rsidR="00F53EE2" w:rsidRDefault="00AC554B">
      <w:pPr>
        <w:numPr>
          <w:ilvl w:val="0"/>
          <w:numId w:val="24"/>
        </w:numPr>
        <w:ind w:right="77" w:hanging="708"/>
      </w:pPr>
      <w:r>
        <w:t>entro TRENTA (30) giorni dal versamento del saldo del prezzo</w:t>
      </w:r>
      <w:r>
        <w:t xml:space="preserve"> e delle spese, sulla base della documentazione acquisita e delle visure aggiornate, redigerà la bozza del decreto di trasferimento e la trasmetterà al giudice unitamente, se richiesto dalla legge, al certificato di destinazione urbanistica </w:t>
      </w:r>
      <w:r>
        <w:t>dell’immobile q</w:t>
      </w:r>
      <w:r>
        <w:t>uale risultante dal fascicolo processuale o, se questo non dovesse essere più valido, quello aggiornato a cura dell’aggiudicatario;</w:t>
      </w:r>
      <w:r>
        <w:t xml:space="preserve"> </w:t>
      </w:r>
    </w:p>
    <w:p w14:paraId="2C30F45C" w14:textId="77777777" w:rsidR="00F53EE2" w:rsidRDefault="00AC554B">
      <w:pPr>
        <w:numPr>
          <w:ilvl w:val="0"/>
          <w:numId w:val="24"/>
        </w:numPr>
        <w:ind w:right="77" w:hanging="708"/>
      </w:pPr>
      <w:r>
        <w:lastRenderedPageBreak/>
        <w:t xml:space="preserve">a seguito </w:t>
      </w:r>
      <w:r>
        <w:t>della firma del decreto da parte del giudice e dell’attribuzione allo stesso del numero di cronologico e del nume</w:t>
      </w:r>
      <w:r>
        <w:t>ro di repertorio (e prima della trasmissione all’Agenzia delle Entrate)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la Cancelleria ne curerà la tempestiva comunicazione alle parti ed il professionista delegato ne estrarrà copia conforme per gli adempimenti relativi alla trascrizione nei Registri Imm</w:t>
      </w:r>
      <w:r>
        <w:t xml:space="preserve">obiliari.  </w:t>
      </w:r>
    </w:p>
    <w:p w14:paraId="6D1B4982" w14:textId="77777777" w:rsidR="00F53EE2" w:rsidRDefault="00AC554B">
      <w:pPr>
        <w:ind w:left="-5" w:right="75"/>
      </w:pPr>
      <w:r>
        <w:t xml:space="preserve">     Il delegato provvederà quindi a consegnare la copia conforme del decreto di trasferimento e il mod. F23, nonché la dichiarazion</w:t>
      </w:r>
      <w:r>
        <w:t xml:space="preserve">e sostitutiva di atto notorio nei casi di agevolazioni fiscali, all’Agenzia delle Entrate. </w:t>
      </w:r>
      <w:r>
        <w:t xml:space="preserve">      Nelle more avrà</w:t>
      </w:r>
      <w:r>
        <w:t xml:space="preserve"> altresì provveduto al deposito presso la Conservatoria dei RR.II. della copia del decreto di trasferimento e della relativa nota di trascrizione, previo pagamento della relativa tassa. Trascorso il tempo </w:t>
      </w:r>
      <w:r>
        <w:t>necessario, ritirerà presso la Conservatoria il dup</w:t>
      </w:r>
      <w:r>
        <w:t xml:space="preserve">lo di tale nota per l’inserimento nel fascicolo. </w:t>
      </w:r>
    </w:p>
    <w:p w14:paraId="4ADFE322" w14:textId="77777777" w:rsidR="00F53EE2" w:rsidRDefault="00AC554B">
      <w:pPr>
        <w:ind w:left="-5" w:right="75"/>
      </w:pPr>
      <w:r>
        <w:t>Contestualmente il professionista delegato provvederà alla tempestiva restituzione del decreto alla Cancelleria.       Il delegato avrà anche provveduto alle formalità necessarie - ivi compreso il versament</w:t>
      </w:r>
      <w:r>
        <w:t xml:space="preserve">o - per la cancellazione dei gravami.  </w:t>
      </w:r>
    </w:p>
    <w:p w14:paraId="0A196034" w14:textId="77777777" w:rsidR="00F53EE2" w:rsidRDefault="00AC554B">
      <w:pPr>
        <w:ind w:left="-5" w:right="75"/>
      </w:pPr>
      <w:r>
        <w:t xml:space="preserve">     Il delegato provvederà infine agli adempimenti necessari per la voltura catastale, ivi compreso il pagamento del relativo importo. Quando possibile la voltura verrà eseguita unitamente alla trascrizione del decr</w:t>
      </w:r>
      <w:r>
        <w:t xml:space="preserve">eto, altrimenti sarà effettuata dopo la registrazione del decreto previa esibizione di copia dello stesso. </w:t>
      </w:r>
    </w:p>
    <w:p w14:paraId="0A8C5DFF" w14:textId="77777777" w:rsidR="00F53EE2" w:rsidRDefault="00AC554B">
      <w:pPr>
        <w:ind w:left="-5" w:right="75"/>
      </w:pPr>
      <w:r>
        <w:t xml:space="preserve">     Se non vi è stato esonero dalla li</w:t>
      </w:r>
      <w:r>
        <w:t xml:space="preserve">berazione del bene staggito da parte dell’aggiudicatario il custode avrà cura </w:t>
      </w:r>
      <w:r>
        <w:t>di depositare la bozza del decr</w:t>
      </w:r>
      <w:r>
        <w:t xml:space="preserve">eto di attuazione del rilascio insieme alla bozza di decreto di trasferimento predisposta dal delegato. </w:t>
      </w:r>
    </w:p>
    <w:p w14:paraId="45FEAE78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</w:t>
      </w:r>
    </w:p>
    <w:p w14:paraId="5677F939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</w:t>
      </w:r>
    </w:p>
    <w:p w14:paraId="53A0F26C" w14:textId="77777777" w:rsidR="00F53EE2" w:rsidRDefault="00AC554B">
      <w:pPr>
        <w:spacing w:line="354" w:lineRule="auto"/>
        <w:ind w:left="-5" w:right="4450"/>
      </w:pPr>
      <w:r>
        <w:t xml:space="preserve">     </w:t>
      </w:r>
      <w:r>
        <w:t xml:space="preserve">Il giudice dell’esecuzione, dott. </w:t>
      </w:r>
      <w:r>
        <w:t xml:space="preserve">Linda  Catagna,      </w:t>
      </w:r>
      <w:r>
        <w:rPr>
          <w:b/>
        </w:rPr>
        <w:t xml:space="preserve">DELEGA </w:t>
      </w:r>
    </w:p>
    <w:p w14:paraId="6080F698" w14:textId="77777777" w:rsidR="00F53EE2" w:rsidRDefault="00AC554B">
      <w:pPr>
        <w:spacing w:after="0" w:line="358" w:lineRule="auto"/>
        <w:ind w:left="-5" w:right="0"/>
        <w:jc w:val="left"/>
      </w:pPr>
      <w:r>
        <w:t xml:space="preserve">     il medesimo professionista </w:t>
      </w:r>
      <w:r>
        <w:rPr>
          <w:b/>
        </w:rPr>
        <w:t>per la formazione di bozza del progetto di distribuzione o assegnazione</w:t>
      </w:r>
      <w:r>
        <w:t xml:space="preserve"> e </w:t>
      </w:r>
      <w:r>
        <w:t>per l’effetto:</w:t>
      </w:r>
      <w:r>
        <w:t xml:space="preserve"> </w:t>
      </w:r>
    </w:p>
    <w:p w14:paraId="4E810B7F" w14:textId="77777777" w:rsidR="00F53EE2" w:rsidRDefault="00AC554B">
      <w:pPr>
        <w:spacing w:after="87" w:line="259" w:lineRule="auto"/>
        <w:ind w:left="-5" w:right="78"/>
      </w:pPr>
      <w:r>
        <w:t xml:space="preserve">     </w:t>
      </w:r>
      <w:r>
        <w:rPr>
          <w:b/>
        </w:rPr>
        <w:t xml:space="preserve">DISPONE </w:t>
      </w:r>
      <w:r>
        <w:t xml:space="preserve">che lo stesso si attenga, nell’esecuzione dell’incarico, alle seguenti prescrizioni </w:t>
      </w:r>
      <w:r>
        <w:t>generali:</w:t>
      </w:r>
      <w:r>
        <w:rPr>
          <w:b/>
        </w:rPr>
        <w:t xml:space="preserve"> </w:t>
      </w:r>
    </w:p>
    <w:p w14:paraId="47A2DEA7" w14:textId="77777777" w:rsidR="00F53EE2" w:rsidRDefault="00AC554B">
      <w:pPr>
        <w:numPr>
          <w:ilvl w:val="0"/>
          <w:numId w:val="25"/>
        </w:numPr>
        <w:ind w:right="75" w:hanging="130"/>
      </w:pPr>
      <w:r>
        <w:t xml:space="preserve">il professionista indicherà nel verbale di aggiudicazione </w:t>
      </w:r>
      <w:r>
        <w:t xml:space="preserve">il termine (in ogni caso non superiore a 150 giorni </w:t>
      </w:r>
      <w:r>
        <w:t>dall’aggiudicazione) entro cui i creditori dovranno inviare le note di precisazione del credito</w:t>
      </w:r>
      <w:r>
        <w:t xml:space="preserve">;  </w:t>
      </w:r>
    </w:p>
    <w:p w14:paraId="4E448C80" w14:textId="77777777" w:rsidR="00F53EE2" w:rsidRDefault="00AC554B">
      <w:pPr>
        <w:numPr>
          <w:ilvl w:val="0"/>
          <w:numId w:val="25"/>
        </w:numPr>
        <w:spacing w:after="87" w:line="259" w:lineRule="auto"/>
        <w:ind w:right="75" w:hanging="130"/>
      </w:pPr>
      <w:r>
        <w:t xml:space="preserve">il professionista inviterà nel verbale di aggiudicazione (o, comunque, con atto successivo):  </w:t>
      </w:r>
    </w:p>
    <w:p w14:paraId="36CEF08E" w14:textId="77777777" w:rsidR="00F53EE2" w:rsidRDefault="00AC554B">
      <w:pPr>
        <w:numPr>
          <w:ilvl w:val="0"/>
          <w:numId w:val="26"/>
        </w:numPr>
        <w:ind w:right="1"/>
      </w:pPr>
      <w:r>
        <w:t>ogni credi</w:t>
      </w:r>
      <w:r>
        <w:t xml:space="preserve">tore ad indicare le modalità di pagamento e le necessarie coordinate bancarie, precisando che il conto corrente su cui dovranno essere bonificate le somme dovrà essere intestato esclusivamente al creditore, con esclusione dei difensori o di terzi;  </w:t>
      </w:r>
    </w:p>
    <w:p w14:paraId="3BEF3A33" w14:textId="77777777" w:rsidR="00F53EE2" w:rsidRDefault="00AC554B">
      <w:pPr>
        <w:numPr>
          <w:ilvl w:val="0"/>
          <w:numId w:val="26"/>
        </w:numPr>
        <w:ind w:right="1"/>
      </w:pPr>
      <w:r>
        <w:t>i cred</w:t>
      </w:r>
      <w:r>
        <w:t xml:space="preserve">itori ipotecari a presentare, ove non ancora avvenuto, copia della nota di iscrizione, nonché, in caso di mutuo con restituzione rateale, il piano di ammortamento; </w:t>
      </w:r>
    </w:p>
    <w:p w14:paraId="63987C5C" w14:textId="77777777" w:rsidR="00F53EE2" w:rsidRDefault="00AC554B">
      <w:pPr>
        <w:numPr>
          <w:ilvl w:val="0"/>
          <w:numId w:val="26"/>
        </w:numPr>
        <w:spacing w:line="354" w:lineRule="auto"/>
        <w:ind w:right="1"/>
      </w:pPr>
      <w:r>
        <w:t>i creditori che intendano far valere un privilegio con collocazione sussidiaria sugli immob</w:t>
      </w:r>
      <w:r>
        <w:t xml:space="preserve">ili ai sensi dell’art. ex art. 2776 c. 2 e c. 3 cod. civ., a documentare l’esito infruttuoso della esecuzione mobiliare, avvisandoli che, </w:t>
      </w:r>
      <w:r>
        <w:t xml:space="preserve">in mancanza, il credito sarà considerato chirografario; </w:t>
      </w:r>
    </w:p>
    <w:p w14:paraId="6BE7BA59" w14:textId="77777777" w:rsidR="00F53EE2" w:rsidRDefault="00AC554B">
      <w:pPr>
        <w:numPr>
          <w:ilvl w:val="0"/>
          <w:numId w:val="27"/>
        </w:numPr>
        <w:spacing w:after="87" w:line="259" w:lineRule="auto"/>
        <w:ind w:right="77" w:hanging="130"/>
      </w:pPr>
      <w:r>
        <w:t>il professionista considererà tra le spese in prededuzione il</w:t>
      </w:r>
      <w:r>
        <w:t xml:space="preserve"> compenso degli ausiliari del giudice; </w:t>
      </w:r>
    </w:p>
    <w:p w14:paraId="33E4DBDF" w14:textId="77777777" w:rsidR="00F53EE2" w:rsidRDefault="00AC554B">
      <w:pPr>
        <w:numPr>
          <w:ilvl w:val="0"/>
          <w:numId w:val="27"/>
        </w:numPr>
        <w:spacing w:after="87" w:line="259" w:lineRule="auto"/>
        <w:ind w:right="77" w:hanging="130"/>
      </w:pPr>
      <w:r>
        <w:t>nel caso di credito fondiario e qualora abbia avuto luogo la dichiarazione di fallimento dell’esecutat</w:t>
      </w:r>
      <w:r>
        <w:t xml:space="preserve">o: </w:t>
      </w:r>
    </w:p>
    <w:p w14:paraId="6DD3D772" w14:textId="77777777" w:rsidR="00F53EE2" w:rsidRDefault="00AC554B">
      <w:pPr>
        <w:numPr>
          <w:ilvl w:val="0"/>
          <w:numId w:val="28"/>
        </w:numPr>
        <w:ind w:right="6"/>
      </w:pPr>
      <w:r>
        <w:t xml:space="preserve">il professionista delegato richiederà al creditore di documentare l’importo del credito ammesso al </w:t>
      </w:r>
      <w:r>
        <w:t>passivo fal</w:t>
      </w:r>
      <w:r>
        <w:t xml:space="preserve">limentare con il privilegio ipotecario (con onere di documentare il provvedimento di stato passivo esecutivo); </w:t>
      </w:r>
    </w:p>
    <w:p w14:paraId="72FD1DA8" w14:textId="77777777" w:rsidR="00F53EE2" w:rsidRDefault="00AC554B">
      <w:pPr>
        <w:numPr>
          <w:ilvl w:val="0"/>
          <w:numId w:val="28"/>
        </w:numPr>
        <w:spacing w:line="354" w:lineRule="auto"/>
        <w:ind w:right="6"/>
      </w:pPr>
      <w:r>
        <w:t xml:space="preserve">qualora il creditore risulti </w:t>
      </w:r>
      <w:r>
        <w:t>aver incassato somme in misura superiore all’importo per il quale abbia avuto luogo l’ammissione allo stato passivo, il professionista indicherà nel progetto l’importo effettivamente spettante;</w:t>
      </w:r>
      <w:r>
        <w:t xml:space="preserve"> </w:t>
      </w:r>
      <w:r>
        <w:rPr>
          <w:b/>
        </w:rPr>
        <w:t>DISPONE, per quanto concerne l’udienza di approvazione del pro</w:t>
      </w:r>
      <w:r>
        <w:rPr>
          <w:b/>
        </w:rPr>
        <w:t xml:space="preserve">getto davanti al professionista, le seguenti prescrizioni cui il professionista deve obbligatoriamente attenersi:   </w:t>
      </w:r>
    </w:p>
    <w:p w14:paraId="7367AFF0" w14:textId="77777777" w:rsidR="00F53EE2" w:rsidRDefault="00AC554B">
      <w:pPr>
        <w:numPr>
          <w:ilvl w:val="1"/>
          <w:numId w:val="28"/>
        </w:numPr>
        <w:ind w:right="3"/>
      </w:pPr>
      <w:r>
        <w:lastRenderedPageBreak/>
        <w:t>il professionista redigerà quindi la bozza del progetto di distribuzione e provvederà a depositarla nel fascicolo telematico, avendo cura c</w:t>
      </w:r>
      <w:r>
        <w:t xml:space="preserve">he alla bozza siano allegate le richieste di liquidazione del compenso come </w:t>
      </w:r>
      <w:r>
        <w:t>professionista delegato e custode, la richiesta di liquidazione finale dell’esperto stimatore ex art.13, le note</w:t>
      </w:r>
      <w:r>
        <w:t xml:space="preserve"> di precisazione del credito e le note spese pervenute; una volta de</w:t>
      </w:r>
      <w:r>
        <w:t xml:space="preserve">positata la detta bozza, il professionista attenderà </w:t>
      </w:r>
      <w:r>
        <w:t xml:space="preserve">il visto/timbro di “verifica” del magistrato, con il quale il giudice, ritenuto idoneo il progetto, provvederà a </w:t>
      </w:r>
      <w:r>
        <w:t>depositarlo formalment</w:t>
      </w:r>
      <w:r>
        <w:t>e nel fascicolo; viceversa, nell’ipotesi in cui si rendano necessari</w:t>
      </w:r>
      <w:r>
        <w:t xml:space="preserve">e variazioni al progetto, </w:t>
      </w:r>
      <w:r>
        <w:t xml:space="preserve">il giudice restituirà gli atti al professionista per le modifiche necessarie; una volta depositato dal giudice il progetto nel fascicolo, il professionista delegato provvederà, nel termine di trenta giorni, alla fissazione </w:t>
      </w:r>
      <w:r>
        <w:t>dell’ud</w:t>
      </w:r>
      <w:r>
        <w:t>ienza di approvazione del riparto innanzi a sé, per la discussione del progetto e per la presentazione di eventuali osservazioni; all’uopo dovrà comunicare la fissazione della detta udienz</w:t>
      </w:r>
      <w:r>
        <w:t xml:space="preserve">a a tutti i creditori e dare atto </w:t>
      </w:r>
      <w:r>
        <w:t>nel verbale di udienza 596 di aver</w:t>
      </w:r>
      <w:r>
        <w:t>e in atti l’esito positivo della comunicazione per tutti i creditori e le parti del processo esecutivo; tra la data di comunicazione dell’udienza a tutte le parti, e la udienza medesima de</w:t>
      </w:r>
      <w:r>
        <w:t xml:space="preserve">vono intercorrere almeno 10 giorni; in proposito, il professionista </w:t>
      </w:r>
      <w:r>
        <w:t>dovrà dare atto nel verbale di udienza 596 c.p.c. di aver correttamente rispettato detto lasso temporale; nel caso di contestazioni al progetto, il professionista rimetterà gli atti a giud</w:t>
      </w:r>
      <w:r>
        <w:t>ice per la fissazione dell’udienza 512 c.p.c.; in caso di approvazio</w:t>
      </w:r>
      <w:r>
        <w:t xml:space="preserve">ne del progetto, invece, </w:t>
      </w:r>
      <w:r>
        <w:t>il professionista depositerà il verbale di udienza 596 c.p.c. tempestivamente nel fascicolo; è fatto divieto al professionista di utilizzare modelli non indicati d</w:t>
      </w:r>
      <w:r>
        <w:t xml:space="preserve">all’Ufficio, sia per la redazione del progetto di distribuzione, </w:t>
      </w:r>
      <w:r>
        <w:t>che</w:t>
      </w:r>
      <w:r>
        <w:t xml:space="preserve"> per la richiesta di compensi, nonché per la redazione del decreto di fissazione udienza 596 e del relativo verbale;       </w:t>
      </w:r>
    </w:p>
    <w:p w14:paraId="6BD57868" w14:textId="77777777" w:rsidR="00F53EE2" w:rsidRDefault="00AC554B">
      <w:pPr>
        <w:numPr>
          <w:ilvl w:val="1"/>
          <w:numId w:val="28"/>
        </w:numPr>
        <w:spacing w:line="354" w:lineRule="auto"/>
        <w:ind w:right="3"/>
      </w:pPr>
      <w:r>
        <w:t xml:space="preserve">il professionista delegato provvederà infine all’esito dell’udienza di cui all’art. 596 c.p.c. o comunque del provvedimento di approvazione reso ai sensi dell’art. 598 c.p.c. o di assegnazione ex art. 510 c.p.c., a porre in </w:t>
      </w:r>
      <w:r>
        <w:t>esecuzione il piano di r</w:t>
      </w:r>
      <w:r>
        <w:t>iparto o</w:t>
      </w:r>
      <w:r>
        <w:t xml:space="preserve"> il provvedimento di assegnazione con l’effettuazione dei relativi pagamenti e degli </w:t>
      </w:r>
      <w:r>
        <w:t xml:space="preserve">adempimenti consequenziali. </w:t>
      </w:r>
    </w:p>
    <w:p w14:paraId="77790F1C" w14:textId="77777777" w:rsidR="00F53EE2" w:rsidRDefault="00AC554B">
      <w:pPr>
        <w:spacing w:line="354" w:lineRule="auto"/>
        <w:ind w:left="-5" w:right="4476"/>
      </w:pPr>
      <w:r>
        <w:t xml:space="preserve">     </w:t>
      </w:r>
      <w:r>
        <w:t xml:space="preserve">Il giudice dell’esecuzione, dott. </w:t>
      </w:r>
      <w:r>
        <w:t xml:space="preserve">Linda  Catagna,      </w:t>
      </w:r>
      <w:r>
        <w:rPr>
          <w:b/>
        </w:rPr>
        <w:t xml:space="preserve">ORDINA </w:t>
      </w:r>
    </w:p>
    <w:p w14:paraId="7A45A393" w14:textId="77777777" w:rsidR="00F53EE2" w:rsidRDefault="00AC554B">
      <w:pPr>
        <w:spacing w:after="0" w:line="358" w:lineRule="auto"/>
        <w:ind w:left="-5" w:right="0"/>
        <w:jc w:val="left"/>
      </w:pPr>
      <w:r>
        <w:t xml:space="preserve">     </w:t>
      </w:r>
      <w:r>
        <w:rPr>
          <w:b/>
        </w:rPr>
        <w:t>alla Cancelleria di comunicare il presente provvedimento e di trasmet</w:t>
      </w:r>
      <w:r>
        <w:rPr>
          <w:b/>
        </w:rPr>
        <w:t xml:space="preserve">tere gli atti necessari per le operazioni delegate al professionista designato.  </w:t>
      </w:r>
    </w:p>
    <w:p w14:paraId="5CA128B9" w14:textId="77777777" w:rsidR="00F53EE2" w:rsidRDefault="00AC554B">
      <w:pPr>
        <w:spacing w:after="87" w:line="259" w:lineRule="auto"/>
        <w:ind w:left="-5" w:right="75"/>
      </w:pPr>
      <w:r>
        <w:rPr>
          <w:b/>
        </w:rPr>
        <w:t xml:space="preserve">     </w:t>
      </w:r>
      <w:r>
        <w:t xml:space="preserve">Santa Maria Capua Vetere, 17/12/2024  </w:t>
      </w:r>
    </w:p>
    <w:p w14:paraId="2DA437D2" w14:textId="77777777" w:rsidR="00F53EE2" w:rsidRDefault="00AC554B">
      <w:pPr>
        <w:spacing w:after="87" w:line="259" w:lineRule="auto"/>
        <w:ind w:left="0" w:right="0" w:firstLine="0"/>
        <w:jc w:val="left"/>
      </w:pPr>
      <w:r>
        <w:t xml:space="preserve"> </w:t>
      </w:r>
    </w:p>
    <w:p w14:paraId="0FFE3B60" w14:textId="77777777" w:rsidR="00F53EE2" w:rsidRDefault="00AC554B">
      <w:pPr>
        <w:spacing w:after="87" w:line="259" w:lineRule="auto"/>
        <w:ind w:left="0" w:right="85" w:firstLine="0"/>
        <w:jc w:val="right"/>
      </w:pPr>
      <w:r>
        <w:t xml:space="preserve">Il giudice dell’esecuzione  </w:t>
      </w:r>
      <w:r>
        <w:t xml:space="preserve"> </w:t>
      </w:r>
    </w:p>
    <w:p w14:paraId="27387B50" w14:textId="77777777" w:rsidR="00F53EE2" w:rsidRDefault="00AC554B">
      <w:pPr>
        <w:spacing w:after="140" w:line="259" w:lineRule="auto"/>
        <w:ind w:left="0" w:right="82" w:firstLine="0"/>
        <w:jc w:val="right"/>
      </w:pPr>
      <w:r>
        <w:t xml:space="preserve">Dott. Linda  Catagna </w:t>
      </w:r>
    </w:p>
    <w:p w14:paraId="3CDF70B3" w14:textId="77777777" w:rsidR="00F53EE2" w:rsidRDefault="00AC554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F34530" w14:textId="77777777" w:rsidR="00F53EE2" w:rsidRDefault="00AC554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53EE2">
      <w:footerReference w:type="even" r:id="rId12"/>
      <w:footerReference w:type="default" r:id="rId13"/>
      <w:footerReference w:type="first" r:id="rId14"/>
      <w:pgSz w:w="11906" w:h="16838"/>
      <w:pgMar w:top="1174" w:right="1050" w:bottom="1149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B740" w14:textId="77777777" w:rsidR="00000000" w:rsidRDefault="00AC554B">
      <w:pPr>
        <w:spacing w:after="0" w:line="240" w:lineRule="auto"/>
      </w:pPr>
      <w:r>
        <w:separator/>
      </w:r>
    </w:p>
  </w:endnote>
  <w:endnote w:type="continuationSeparator" w:id="0">
    <w:p w14:paraId="1C66FEFF" w14:textId="77777777" w:rsidR="00000000" w:rsidRDefault="00AC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1169" w14:textId="77777777" w:rsidR="00F53EE2" w:rsidRDefault="00AC554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2D6FDD36" w14:textId="77777777" w:rsidR="00F53EE2" w:rsidRDefault="00AC554B">
    <w:pPr>
      <w:spacing w:after="0" w:line="259" w:lineRule="auto"/>
      <w:ind w:left="0" w:right="4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7677" w14:textId="77777777" w:rsidR="00F53EE2" w:rsidRDefault="00AC554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11BA917E" w14:textId="77777777" w:rsidR="00F53EE2" w:rsidRDefault="00AC554B">
    <w:pPr>
      <w:spacing w:after="0" w:line="259" w:lineRule="auto"/>
      <w:ind w:left="0" w:right="4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018F" w14:textId="77777777" w:rsidR="00F53EE2" w:rsidRDefault="00AC554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4D7488EA" w14:textId="77777777" w:rsidR="00F53EE2" w:rsidRDefault="00AC554B">
    <w:pPr>
      <w:spacing w:after="0" w:line="259" w:lineRule="auto"/>
      <w:ind w:left="0" w:right="4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6018" w14:textId="77777777" w:rsidR="00000000" w:rsidRDefault="00AC554B">
      <w:pPr>
        <w:spacing w:after="0" w:line="240" w:lineRule="auto"/>
      </w:pPr>
      <w:r>
        <w:separator/>
      </w:r>
    </w:p>
  </w:footnote>
  <w:footnote w:type="continuationSeparator" w:id="0">
    <w:p w14:paraId="673B99A8" w14:textId="77777777" w:rsidR="00000000" w:rsidRDefault="00AC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14E"/>
    <w:multiLevelType w:val="hybridMultilevel"/>
    <w:tmpl w:val="5A947B82"/>
    <w:lvl w:ilvl="0" w:tplc="88A23BCC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E0B2CE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7A63BC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6786E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CAC2F6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06F014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20818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ADF10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B25102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9011C"/>
    <w:multiLevelType w:val="hybridMultilevel"/>
    <w:tmpl w:val="62F81E56"/>
    <w:lvl w:ilvl="0" w:tplc="3CAE4152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DE67DA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B0DA62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50A8B8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82C304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81072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7C7A5C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44A186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8A0902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B1ACB"/>
    <w:multiLevelType w:val="hybridMultilevel"/>
    <w:tmpl w:val="15F605E4"/>
    <w:lvl w:ilvl="0" w:tplc="806890D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B639A2">
      <w:start w:val="1"/>
      <w:numFmt w:val="lowerLetter"/>
      <w:lvlText w:val="%2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1E2A5E">
      <w:start w:val="1"/>
      <w:numFmt w:val="lowerRoman"/>
      <w:lvlText w:val="%3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25D72">
      <w:start w:val="1"/>
      <w:numFmt w:val="decimal"/>
      <w:lvlText w:val="%4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CB13A">
      <w:start w:val="1"/>
      <w:numFmt w:val="lowerLetter"/>
      <w:lvlText w:val="%5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DA7C3A">
      <w:start w:val="1"/>
      <w:numFmt w:val="lowerRoman"/>
      <w:lvlText w:val="%6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ECF85A">
      <w:start w:val="1"/>
      <w:numFmt w:val="decimal"/>
      <w:lvlText w:val="%7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8797C">
      <w:start w:val="1"/>
      <w:numFmt w:val="lowerLetter"/>
      <w:lvlText w:val="%8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C2DAF8">
      <w:start w:val="1"/>
      <w:numFmt w:val="lowerRoman"/>
      <w:lvlText w:val="%9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96877"/>
    <w:multiLevelType w:val="hybridMultilevel"/>
    <w:tmpl w:val="DDACC06C"/>
    <w:lvl w:ilvl="0" w:tplc="79A40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29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C8A5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6019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201B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069E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D086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FE5C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A3B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A43C47"/>
    <w:multiLevelType w:val="hybridMultilevel"/>
    <w:tmpl w:val="5E567D3A"/>
    <w:lvl w:ilvl="0" w:tplc="AB7A163E">
      <w:start w:val="1"/>
      <w:numFmt w:val="decimal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AD0E">
      <w:start w:val="1"/>
      <w:numFmt w:val="lowerLetter"/>
      <w:lvlText w:val="%2"/>
      <w:lvlJc w:val="left"/>
      <w:pPr>
        <w:ind w:left="135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DA8E56">
      <w:start w:val="1"/>
      <w:numFmt w:val="lowerRoman"/>
      <w:lvlText w:val="%3"/>
      <w:lvlJc w:val="left"/>
      <w:pPr>
        <w:ind w:left="207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6DDF2">
      <w:start w:val="1"/>
      <w:numFmt w:val="decimal"/>
      <w:lvlText w:val="%4"/>
      <w:lvlJc w:val="left"/>
      <w:pPr>
        <w:ind w:left="279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6C70C">
      <w:start w:val="1"/>
      <w:numFmt w:val="lowerLetter"/>
      <w:lvlText w:val="%5"/>
      <w:lvlJc w:val="left"/>
      <w:pPr>
        <w:ind w:left="351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2CAE90">
      <w:start w:val="1"/>
      <w:numFmt w:val="lowerRoman"/>
      <w:lvlText w:val="%6"/>
      <w:lvlJc w:val="left"/>
      <w:pPr>
        <w:ind w:left="423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565822">
      <w:start w:val="1"/>
      <w:numFmt w:val="decimal"/>
      <w:lvlText w:val="%7"/>
      <w:lvlJc w:val="left"/>
      <w:pPr>
        <w:ind w:left="495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56560E">
      <w:start w:val="1"/>
      <w:numFmt w:val="lowerLetter"/>
      <w:lvlText w:val="%8"/>
      <w:lvlJc w:val="left"/>
      <w:pPr>
        <w:ind w:left="567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602992">
      <w:start w:val="1"/>
      <w:numFmt w:val="lowerRoman"/>
      <w:lvlText w:val="%9"/>
      <w:lvlJc w:val="left"/>
      <w:pPr>
        <w:ind w:left="6397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36843"/>
    <w:multiLevelType w:val="hybridMultilevel"/>
    <w:tmpl w:val="4BDCB052"/>
    <w:lvl w:ilvl="0" w:tplc="E63C299C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344ADC">
      <w:start w:val="1"/>
      <w:numFmt w:val="bullet"/>
      <w:lvlText w:val="o"/>
      <w:lvlJc w:val="left"/>
      <w:pPr>
        <w:ind w:left="13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40DB2">
      <w:start w:val="1"/>
      <w:numFmt w:val="bullet"/>
      <w:lvlText w:val="▪"/>
      <w:lvlJc w:val="left"/>
      <w:pPr>
        <w:ind w:left="2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7289DA">
      <w:start w:val="1"/>
      <w:numFmt w:val="bullet"/>
      <w:lvlText w:val="•"/>
      <w:lvlJc w:val="left"/>
      <w:pPr>
        <w:ind w:left="2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4A6DC0">
      <w:start w:val="1"/>
      <w:numFmt w:val="bullet"/>
      <w:lvlText w:val="o"/>
      <w:lvlJc w:val="left"/>
      <w:pPr>
        <w:ind w:left="3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7CBE20">
      <w:start w:val="1"/>
      <w:numFmt w:val="bullet"/>
      <w:lvlText w:val="▪"/>
      <w:lvlJc w:val="left"/>
      <w:pPr>
        <w:ind w:left="4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E05740">
      <w:start w:val="1"/>
      <w:numFmt w:val="bullet"/>
      <w:lvlText w:val="•"/>
      <w:lvlJc w:val="left"/>
      <w:pPr>
        <w:ind w:left="4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BAA7D2">
      <w:start w:val="1"/>
      <w:numFmt w:val="bullet"/>
      <w:lvlText w:val="o"/>
      <w:lvlJc w:val="left"/>
      <w:pPr>
        <w:ind w:left="5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CECF6C">
      <w:start w:val="1"/>
      <w:numFmt w:val="bullet"/>
      <w:lvlText w:val="▪"/>
      <w:lvlJc w:val="left"/>
      <w:pPr>
        <w:ind w:left="6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E965EA"/>
    <w:multiLevelType w:val="hybridMultilevel"/>
    <w:tmpl w:val="1D70C6CE"/>
    <w:lvl w:ilvl="0" w:tplc="589CD64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9897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DEA5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A830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272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AA29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287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267B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109E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E3A26"/>
    <w:multiLevelType w:val="hybridMultilevel"/>
    <w:tmpl w:val="17683D7E"/>
    <w:lvl w:ilvl="0" w:tplc="80500BCC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A2A3CC">
      <w:start w:val="1"/>
      <w:numFmt w:val="lowerLetter"/>
      <w:lvlText w:val="%2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00D1A0">
      <w:start w:val="1"/>
      <w:numFmt w:val="lowerRoman"/>
      <w:lvlText w:val="%3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2E5048">
      <w:start w:val="1"/>
      <w:numFmt w:val="decimal"/>
      <w:lvlText w:val="%4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78F4D6">
      <w:start w:val="1"/>
      <w:numFmt w:val="lowerLetter"/>
      <w:lvlText w:val="%5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BCB806">
      <w:start w:val="1"/>
      <w:numFmt w:val="lowerRoman"/>
      <w:lvlText w:val="%6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C27A26">
      <w:start w:val="1"/>
      <w:numFmt w:val="decimal"/>
      <w:lvlText w:val="%7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78ACAE">
      <w:start w:val="1"/>
      <w:numFmt w:val="lowerLetter"/>
      <w:lvlText w:val="%8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CA995A">
      <w:start w:val="1"/>
      <w:numFmt w:val="lowerRoman"/>
      <w:lvlText w:val="%9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D5044"/>
    <w:multiLevelType w:val="hybridMultilevel"/>
    <w:tmpl w:val="01B83A8E"/>
    <w:lvl w:ilvl="0" w:tplc="C30EA546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25256">
      <w:start w:val="1"/>
      <w:numFmt w:val="bullet"/>
      <w:lvlText w:val="o"/>
      <w:lvlJc w:val="left"/>
      <w:pPr>
        <w:ind w:left="13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70EFA8">
      <w:start w:val="1"/>
      <w:numFmt w:val="bullet"/>
      <w:lvlText w:val="▪"/>
      <w:lvlJc w:val="left"/>
      <w:pPr>
        <w:ind w:left="20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8AD730">
      <w:start w:val="1"/>
      <w:numFmt w:val="bullet"/>
      <w:lvlText w:val="•"/>
      <w:lvlJc w:val="left"/>
      <w:pPr>
        <w:ind w:left="28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C4A58C">
      <w:start w:val="1"/>
      <w:numFmt w:val="bullet"/>
      <w:lvlText w:val="o"/>
      <w:lvlJc w:val="left"/>
      <w:pPr>
        <w:ind w:left="35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C06E56">
      <w:start w:val="1"/>
      <w:numFmt w:val="bullet"/>
      <w:lvlText w:val="▪"/>
      <w:lvlJc w:val="left"/>
      <w:pPr>
        <w:ind w:left="42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180C76">
      <w:start w:val="1"/>
      <w:numFmt w:val="bullet"/>
      <w:lvlText w:val="•"/>
      <w:lvlJc w:val="left"/>
      <w:pPr>
        <w:ind w:left="49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D8E63C">
      <w:start w:val="1"/>
      <w:numFmt w:val="bullet"/>
      <w:lvlText w:val="o"/>
      <w:lvlJc w:val="left"/>
      <w:pPr>
        <w:ind w:left="56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FEAF6C">
      <w:start w:val="1"/>
      <w:numFmt w:val="bullet"/>
      <w:lvlText w:val="▪"/>
      <w:lvlJc w:val="left"/>
      <w:pPr>
        <w:ind w:left="64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A23F5"/>
    <w:multiLevelType w:val="hybridMultilevel"/>
    <w:tmpl w:val="2DE65792"/>
    <w:lvl w:ilvl="0" w:tplc="D2EAF9FA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6A346E">
      <w:start w:val="1"/>
      <w:numFmt w:val="bullet"/>
      <w:lvlText w:val="o"/>
      <w:lvlJc w:val="left"/>
      <w:pPr>
        <w:ind w:left="13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3EAC88">
      <w:start w:val="1"/>
      <w:numFmt w:val="bullet"/>
      <w:lvlText w:val="▪"/>
      <w:lvlJc w:val="left"/>
      <w:pPr>
        <w:ind w:left="20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6A3806">
      <w:start w:val="1"/>
      <w:numFmt w:val="bullet"/>
      <w:lvlText w:val="•"/>
      <w:lvlJc w:val="left"/>
      <w:pPr>
        <w:ind w:left="27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F6FFE6">
      <w:start w:val="1"/>
      <w:numFmt w:val="bullet"/>
      <w:lvlText w:val="o"/>
      <w:lvlJc w:val="left"/>
      <w:pPr>
        <w:ind w:left="34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A400FC">
      <w:start w:val="1"/>
      <w:numFmt w:val="bullet"/>
      <w:lvlText w:val="▪"/>
      <w:lvlJc w:val="left"/>
      <w:pPr>
        <w:ind w:left="42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2EC5F2">
      <w:start w:val="1"/>
      <w:numFmt w:val="bullet"/>
      <w:lvlText w:val="•"/>
      <w:lvlJc w:val="left"/>
      <w:pPr>
        <w:ind w:left="4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DE8524">
      <w:start w:val="1"/>
      <w:numFmt w:val="bullet"/>
      <w:lvlText w:val="o"/>
      <w:lvlJc w:val="left"/>
      <w:pPr>
        <w:ind w:left="5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5C1464">
      <w:start w:val="1"/>
      <w:numFmt w:val="bullet"/>
      <w:lvlText w:val="▪"/>
      <w:lvlJc w:val="left"/>
      <w:pPr>
        <w:ind w:left="6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54795"/>
    <w:multiLevelType w:val="hybridMultilevel"/>
    <w:tmpl w:val="D6E00D08"/>
    <w:lvl w:ilvl="0" w:tplc="3626AF60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9AF1D4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7AD6EE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66E312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440428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28AC06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6817D0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AE63AE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401922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295E35"/>
    <w:multiLevelType w:val="hybridMultilevel"/>
    <w:tmpl w:val="B7328380"/>
    <w:lvl w:ilvl="0" w:tplc="62E43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A31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6A7C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A0E3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08C6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5266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1854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AAEC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7A4B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5B5495"/>
    <w:multiLevelType w:val="hybridMultilevel"/>
    <w:tmpl w:val="62FA8BBC"/>
    <w:lvl w:ilvl="0" w:tplc="2B5232B2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C6D8A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1C8CF4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00218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AAF654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6694A4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48A390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58ABF4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D090DE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C5B62"/>
    <w:multiLevelType w:val="hybridMultilevel"/>
    <w:tmpl w:val="315E4A76"/>
    <w:lvl w:ilvl="0" w:tplc="E176F626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C09448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A6ED2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00EC98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8F20E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10F446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86A28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6DD40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66FF50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16768"/>
    <w:multiLevelType w:val="hybridMultilevel"/>
    <w:tmpl w:val="C2361C84"/>
    <w:lvl w:ilvl="0" w:tplc="4912C1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8E2B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6EE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C09A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ECD3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00D0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765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2872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442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424EC4"/>
    <w:multiLevelType w:val="hybridMultilevel"/>
    <w:tmpl w:val="DD4E830E"/>
    <w:lvl w:ilvl="0" w:tplc="2C18017E">
      <w:start w:val="1"/>
      <w:numFmt w:val="decimal"/>
      <w:lvlText w:val="%1.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CC211C">
      <w:start w:val="1"/>
      <w:numFmt w:val="bullet"/>
      <w:lvlText w:val="-"/>
      <w:lvlJc w:val="left"/>
      <w:pPr>
        <w:ind w:left="8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FA73EA">
      <w:start w:val="1"/>
      <w:numFmt w:val="bullet"/>
      <w:lvlText w:val="▪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E21BC8">
      <w:start w:val="1"/>
      <w:numFmt w:val="bullet"/>
      <w:lvlText w:val="•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091BC">
      <w:start w:val="1"/>
      <w:numFmt w:val="bullet"/>
      <w:lvlText w:val="o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B40406">
      <w:start w:val="1"/>
      <w:numFmt w:val="bullet"/>
      <w:lvlText w:val="▪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CE7FCC">
      <w:start w:val="1"/>
      <w:numFmt w:val="bullet"/>
      <w:lvlText w:val="•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466022">
      <w:start w:val="1"/>
      <w:numFmt w:val="bullet"/>
      <w:lvlText w:val="o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C6BF12">
      <w:start w:val="1"/>
      <w:numFmt w:val="bullet"/>
      <w:lvlText w:val="▪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6D105F"/>
    <w:multiLevelType w:val="hybridMultilevel"/>
    <w:tmpl w:val="9B626EE6"/>
    <w:lvl w:ilvl="0" w:tplc="DC4CF112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B63030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6D454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98AA46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B442E8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140048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62EFF8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509706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E865FE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EB27B2"/>
    <w:multiLevelType w:val="hybridMultilevel"/>
    <w:tmpl w:val="3BC8E54C"/>
    <w:lvl w:ilvl="0" w:tplc="26F262C6">
      <w:start w:val="1"/>
      <w:numFmt w:val="bullet"/>
      <w:lvlText w:val="-"/>
      <w:lvlJc w:val="left"/>
      <w:pPr>
        <w:ind w:left="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9EF1EA">
      <w:start w:val="1"/>
      <w:numFmt w:val="bullet"/>
      <w:lvlText w:val="o"/>
      <w:lvlJc w:val="left"/>
      <w:pPr>
        <w:ind w:left="12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8C9DC">
      <w:start w:val="1"/>
      <w:numFmt w:val="bullet"/>
      <w:lvlText w:val="▪"/>
      <w:lvlJc w:val="left"/>
      <w:pPr>
        <w:ind w:left="19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3C849E">
      <w:start w:val="1"/>
      <w:numFmt w:val="bullet"/>
      <w:lvlText w:val="•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C6F66C">
      <w:start w:val="1"/>
      <w:numFmt w:val="bullet"/>
      <w:lvlText w:val="o"/>
      <w:lvlJc w:val="left"/>
      <w:pPr>
        <w:ind w:left="34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C42D08">
      <w:start w:val="1"/>
      <w:numFmt w:val="bullet"/>
      <w:lvlText w:val="▪"/>
      <w:lvlJc w:val="left"/>
      <w:pPr>
        <w:ind w:left="41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A679EA">
      <w:start w:val="1"/>
      <w:numFmt w:val="bullet"/>
      <w:lvlText w:val="•"/>
      <w:lvlJc w:val="left"/>
      <w:pPr>
        <w:ind w:left="4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2ABA66">
      <w:start w:val="1"/>
      <w:numFmt w:val="bullet"/>
      <w:lvlText w:val="o"/>
      <w:lvlJc w:val="left"/>
      <w:pPr>
        <w:ind w:left="55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65D90">
      <w:start w:val="1"/>
      <w:numFmt w:val="bullet"/>
      <w:lvlText w:val="▪"/>
      <w:lvlJc w:val="left"/>
      <w:pPr>
        <w:ind w:left="6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233E9B"/>
    <w:multiLevelType w:val="hybridMultilevel"/>
    <w:tmpl w:val="F11E9F02"/>
    <w:lvl w:ilvl="0" w:tplc="ABE620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386A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30C7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48F7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2CEC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54C5A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0E36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CE8B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D8DCE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673D62"/>
    <w:multiLevelType w:val="hybridMultilevel"/>
    <w:tmpl w:val="1B5AA8CC"/>
    <w:lvl w:ilvl="0" w:tplc="3BF813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8EA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0C1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C25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CC7B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6EBA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CDD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28B2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5CA6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B81456"/>
    <w:multiLevelType w:val="hybridMultilevel"/>
    <w:tmpl w:val="DCB6C20E"/>
    <w:lvl w:ilvl="0" w:tplc="1EB456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D603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8081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C61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28AF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86AF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FEB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5258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8830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F56ED"/>
    <w:multiLevelType w:val="hybridMultilevel"/>
    <w:tmpl w:val="093203BE"/>
    <w:lvl w:ilvl="0" w:tplc="F9F0F98C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36E306">
      <w:start w:val="1"/>
      <w:numFmt w:val="bullet"/>
      <w:lvlText w:val="o"/>
      <w:lvlJc w:val="left"/>
      <w:pPr>
        <w:ind w:left="1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1A74B2">
      <w:start w:val="1"/>
      <w:numFmt w:val="bullet"/>
      <w:lvlText w:val="▪"/>
      <w:lvlJc w:val="left"/>
      <w:pPr>
        <w:ind w:left="21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EEA738">
      <w:start w:val="1"/>
      <w:numFmt w:val="bullet"/>
      <w:lvlText w:val="•"/>
      <w:lvlJc w:val="left"/>
      <w:pPr>
        <w:ind w:left="28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F85BD0">
      <w:start w:val="1"/>
      <w:numFmt w:val="bullet"/>
      <w:lvlText w:val="o"/>
      <w:lvlJc w:val="left"/>
      <w:pPr>
        <w:ind w:left="35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BC88D4">
      <w:start w:val="1"/>
      <w:numFmt w:val="bullet"/>
      <w:lvlText w:val="▪"/>
      <w:lvlJc w:val="left"/>
      <w:pPr>
        <w:ind w:left="42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4C2C42">
      <w:start w:val="1"/>
      <w:numFmt w:val="bullet"/>
      <w:lvlText w:val="•"/>
      <w:lvlJc w:val="left"/>
      <w:pPr>
        <w:ind w:left="49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4606A8">
      <w:start w:val="1"/>
      <w:numFmt w:val="bullet"/>
      <w:lvlText w:val="o"/>
      <w:lvlJc w:val="left"/>
      <w:pPr>
        <w:ind w:left="5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C41292">
      <w:start w:val="1"/>
      <w:numFmt w:val="bullet"/>
      <w:lvlText w:val="▪"/>
      <w:lvlJc w:val="left"/>
      <w:pPr>
        <w:ind w:left="6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D94D8F"/>
    <w:multiLevelType w:val="hybridMultilevel"/>
    <w:tmpl w:val="5D26D6FC"/>
    <w:lvl w:ilvl="0" w:tplc="24DEA434">
      <w:start w:val="1"/>
      <w:numFmt w:val="bullet"/>
      <w:lvlText w:val="-"/>
      <w:lvlJc w:val="left"/>
      <w:pPr>
        <w:ind w:left="13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74A2C2">
      <w:start w:val="1"/>
      <w:numFmt w:val="bullet"/>
      <w:lvlText w:val="o"/>
      <w:lvlJc w:val="left"/>
      <w:pPr>
        <w:ind w:left="137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FC1E70">
      <w:start w:val="1"/>
      <w:numFmt w:val="bullet"/>
      <w:lvlText w:val="▪"/>
      <w:lvlJc w:val="left"/>
      <w:pPr>
        <w:ind w:left="209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92F2F6">
      <w:start w:val="1"/>
      <w:numFmt w:val="bullet"/>
      <w:lvlText w:val="•"/>
      <w:lvlJc w:val="left"/>
      <w:pPr>
        <w:ind w:left="28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A41DEE">
      <w:start w:val="1"/>
      <w:numFmt w:val="bullet"/>
      <w:lvlText w:val="o"/>
      <w:lvlJc w:val="left"/>
      <w:pPr>
        <w:ind w:left="353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E22ABC">
      <w:start w:val="1"/>
      <w:numFmt w:val="bullet"/>
      <w:lvlText w:val="▪"/>
      <w:lvlJc w:val="left"/>
      <w:pPr>
        <w:ind w:left="425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E88BB6">
      <w:start w:val="1"/>
      <w:numFmt w:val="bullet"/>
      <w:lvlText w:val="•"/>
      <w:lvlJc w:val="left"/>
      <w:pPr>
        <w:ind w:left="497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2EF9E">
      <w:start w:val="1"/>
      <w:numFmt w:val="bullet"/>
      <w:lvlText w:val="o"/>
      <w:lvlJc w:val="left"/>
      <w:pPr>
        <w:ind w:left="569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3265E8">
      <w:start w:val="1"/>
      <w:numFmt w:val="bullet"/>
      <w:lvlText w:val="▪"/>
      <w:lvlJc w:val="left"/>
      <w:pPr>
        <w:ind w:left="641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8D3D05"/>
    <w:multiLevelType w:val="hybridMultilevel"/>
    <w:tmpl w:val="62908F0E"/>
    <w:lvl w:ilvl="0" w:tplc="7A58042E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3A98F8">
      <w:start w:val="1"/>
      <w:numFmt w:val="bullet"/>
      <w:lvlText w:val="o"/>
      <w:lvlJc w:val="left"/>
      <w:pPr>
        <w:ind w:left="1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A46220">
      <w:start w:val="1"/>
      <w:numFmt w:val="bullet"/>
      <w:lvlText w:val="▪"/>
      <w:lvlJc w:val="left"/>
      <w:pPr>
        <w:ind w:left="2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3AB9C8">
      <w:start w:val="1"/>
      <w:numFmt w:val="bullet"/>
      <w:lvlText w:val="•"/>
      <w:lvlJc w:val="left"/>
      <w:pPr>
        <w:ind w:left="2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7421C4">
      <w:start w:val="1"/>
      <w:numFmt w:val="bullet"/>
      <w:lvlText w:val="o"/>
      <w:lvlJc w:val="left"/>
      <w:pPr>
        <w:ind w:left="3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76B6CE">
      <w:start w:val="1"/>
      <w:numFmt w:val="bullet"/>
      <w:lvlText w:val="▪"/>
      <w:lvlJc w:val="left"/>
      <w:pPr>
        <w:ind w:left="4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62FCF4">
      <w:start w:val="1"/>
      <w:numFmt w:val="bullet"/>
      <w:lvlText w:val="•"/>
      <w:lvlJc w:val="left"/>
      <w:pPr>
        <w:ind w:left="4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DAC166">
      <w:start w:val="1"/>
      <w:numFmt w:val="bullet"/>
      <w:lvlText w:val="o"/>
      <w:lvlJc w:val="left"/>
      <w:pPr>
        <w:ind w:left="5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F8798E">
      <w:start w:val="1"/>
      <w:numFmt w:val="bullet"/>
      <w:lvlText w:val="▪"/>
      <w:lvlJc w:val="left"/>
      <w:pPr>
        <w:ind w:left="64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A41818"/>
    <w:multiLevelType w:val="hybridMultilevel"/>
    <w:tmpl w:val="16DC3A80"/>
    <w:lvl w:ilvl="0" w:tplc="A440CFF0">
      <w:start w:val="1"/>
      <w:numFmt w:val="bullet"/>
      <w:lvlText w:val="-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7EF74C">
      <w:start w:val="1"/>
      <w:numFmt w:val="bullet"/>
      <w:lvlText w:val="o"/>
      <w:lvlJc w:val="left"/>
      <w:pPr>
        <w:ind w:left="13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4C8FA6">
      <w:start w:val="1"/>
      <w:numFmt w:val="bullet"/>
      <w:lvlText w:val="▪"/>
      <w:lvlJc w:val="left"/>
      <w:pPr>
        <w:ind w:left="20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501EA6">
      <w:start w:val="1"/>
      <w:numFmt w:val="bullet"/>
      <w:lvlText w:val="•"/>
      <w:lvlJc w:val="left"/>
      <w:pPr>
        <w:ind w:left="28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B8263A">
      <w:start w:val="1"/>
      <w:numFmt w:val="bullet"/>
      <w:lvlText w:val="o"/>
      <w:lvlJc w:val="left"/>
      <w:pPr>
        <w:ind w:left="35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204AA">
      <w:start w:val="1"/>
      <w:numFmt w:val="bullet"/>
      <w:lvlText w:val="▪"/>
      <w:lvlJc w:val="left"/>
      <w:pPr>
        <w:ind w:left="42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6C1F6">
      <w:start w:val="1"/>
      <w:numFmt w:val="bullet"/>
      <w:lvlText w:val="•"/>
      <w:lvlJc w:val="left"/>
      <w:pPr>
        <w:ind w:left="49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442DB0">
      <w:start w:val="1"/>
      <w:numFmt w:val="bullet"/>
      <w:lvlText w:val="o"/>
      <w:lvlJc w:val="left"/>
      <w:pPr>
        <w:ind w:left="56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B886B4">
      <w:start w:val="1"/>
      <w:numFmt w:val="bullet"/>
      <w:lvlText w:val="▪"/>
      <w:lvlJc w:val="left"/>
      <w:pPr>
        <w:ind w:left="64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6F0F7E"/>
    <w:multiLevelType w:val="hybridMultilevel"/>
    <w:tmpl w:val="1C180F84"/>
    <w:lvl w:ilvl="0" w:tplc="A0BAA9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78A1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057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C05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802A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9ABB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9085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8E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0854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1D6FCB"/>
    <w:multiLevelType w:val="hybridMultilevel"/>
    <w:tmpl w:val="04D6EE2C"/>
    <w:lvl w:ilvl="0" w:tplc="BF42DB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EAD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8CA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8C6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ACE3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F41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068F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AC6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C803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7D7076"/>
    <w:multiLevelType w:val="hybridMultilevel"/>
    <w:tmpl w:val="790C2CDC"/>
    <w:lvl w:ilvl="0" w:tplc="741CC734">
      <w:start w:val="1"/>
      <w:numFmt w:val="bullet"/>
      <w:lvlText w:val="•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9C71D2">
      <w:start w:val="1"/>
      <w:numFmt w:val="bullet"/>
      <w:lvlText w:val="-"/>
      <w:lvlJc w:val="left"/>
      <w:pPr>
        <w:ind w:left="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825246">
      <w:start w:val="1"/>
      <w:numFmt w:val="bullet"/>
      <w:lvlText w:val="▪"/>
      <w:lvlJc w:val="left"/>
      <w:pPr>
        <w:ind w:left="1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AEA144">
      <w:start w:val="1"/>
      <w:numFmt w:val="bullet"/>
      <w:lvlText w:val="•"/>
      <w:lvlJc w:val="left"/>
      <w:pPr>
        <w:ind w:left="2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4938E">
      <w:start w:val="1"/>
      <w:numFmt w:val="bullet"/>
      <w:lvlText w:val="o"/>
      <w:lvlJc w:val="left"/>
      <w:pPr>
        <w:ind w:left="2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38850C">
      <w:start w:val="1"/>
      <w:numFmt w:val="bullet"/>
      <w:lvlText w:val="▪"/>
      <w:lvlJc w:val="left"/>
      <w:pPr>
        <w:ind w:left="35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5EBBD4">
      <w:start w:val="1"/>
      <w:numFmt w:val="bullet"/>
      <w:lvlText w:val="•"/>
      <w:lvlJc w:val="left"/>
      <w:pPr>
        <w:ind w:left="42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CDCB8">
      <w:start w:val="1"/>
      <w:numFmt w:val="bullet"/>
      <w:lvlText w:val="o"/>
      <w:lvlJc w:val="left"/>
      <w:pPr>
        <w:ind w:left="49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BA5688">
      <w:start w:val="1"/>
      <w:numFmt w:val="bullet"/>
      <w:lvlText w:val="▪"/>
      <w:lvlJc w:val="left"/>
      <w:pPr>
        <w:ind w:left="57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153596">
    <w:abstractNumId w:val="16"/>
  </w:num>
  <w:num w:numId="2" w16cid:durableId="1216550612">
    <w:abstractNumId w:val="21"/>
  </w:num>
  <w:num w:numId="3" w16cid:durableId="340204988">
    <w:abstractNumId w:val="10"/>
  </w:num>
  <w:num w:numId="4" w16cid:durableId="1265764767">
    <w:abstractNumId w:val="23"/>
  </w:num>
  <w:num w:numId="5" w16cid:durableId="336815010">
    <w:abstractNumId w:val="22"/>
  </w:num>
  <w:num w:numId="6" w16cid:durableId="1519268981">
    <w:abstractNumId w:val="14"/>
  </w:num>
  <w:num w:numId="7" w16cid:durableId="1664162040">
    <w:abstractNumId w:val="7"/>
  </w:num>
  <w:num w:numId="8" w16cid:durableId="720135707">
    <w:abstractNumId w:val="6"/>
  </w:num>
  <w:num w:numId="9" w16cid:durableId="1511412992">
    <w:abstractNumId w:val="2"/>
  </w:num>
  <w:num w:numId="10" w16cid:durableId="1300568721">
    <w:abstractNumId w:val="25"/>
  </w:num>
  <w:num w:numId="11" w16cid:durableId="1056928200">
    <w:abstractNumId w:val="5"/>
  </w:num>
  <w:num w:numId="12" w16cid:durableId="1042562427">
    <w:abstractNumId w:val="3"/>
  </w:num>
  <w:num w:numId="13" w16cid:durableId="2011132853">
    <w:abstractNumId w:val="19"/>
  </w:num>
  <w:num w:numId="14" w16cid:durableId="1337463281">
    <w:abstractNumId w:val="9"/>
  </w:num>
  <w:num w:numId="15" w16cid:durableId="2096973061">
    <w:abstractNumId w:val="8"/>
  </w:num>
  <w:num w:numId="16" w16cid:durableId="658195455">
    <w:abstractNumId w:val="26"/>
  </w:num>
  <w:num w:numId="17" w16cid:durableId="1031804799">
    <w:abstractNumId w:val="12"/>
  </w:num>
  <w:num w:numId="18" w16cid:durableId="1053195242">
    <w:abstractNumId w:val="20"/>
  </w:num>
  <w:num w:numId="19" w16cid:durableId="1931234422">
    <w:abstractNumId w:val="24"/>
  </w:num>
  <w:num w:numId="20" w16cid:durableId="353849664">
    <w:abstractNumId w:val="13"/>
  </w:num>
  <w:num w:numId="21" w16cid:durableId="2115519644">
    <w:abstractNumId w:val="15"/>
  </w:num>
  <w:num w:numId="22" w16cid:durableId="979655971">
    <w:abstractNumId w:val="18"/>
  </w:num>
  <w:num w:numId="23" w16cid:durableId="1737166823">
    <w:abstractNumId w:val="11"/>
  </w:num>
  <w:num w:numId="24" w16cid:durableId="2032489134">
    <w:abstractNumId w:val="17"/>
  </w:num>
  <w:num w:numId="25" w16cid:durableId="1648894080">
    <w:abstractNumId w:val="0"/>
  </w:num>
  <w:num w:numId="26" w16cid:durableId="1085149622">
    <w:abstractNumId w:val="4"/>
  </w:num>
  <w:num w:numId="27" w16cid:durableId="287471854">
    <w:abstractNumId w:val="1"/>
  </w:num>
  <w:num w:numId="28" w16cid:durableId="1592548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E2"/>
    <w:rsid w:val="00AC554B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35A"/>
  <w15:docId w15:val="{89383219-1B1D-475C-8734-42EF6814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66" w:lineRule="auto"/>
      <w:ind w:left="10" w:right="4808" w:hanging="10"/>
      <w:jc w:val="both"/>
    </w:pPr>
    <w:rPr>
      <w:rFonts w:ascii="Bookman Old Style" w:eastAsia="Bookman Old Style" w:hAnsi="Bookman Old Style" w:cs="Bookman Old Style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9"/>
      <w:ind w:left="370" w:hanging="10"/>
      <w:outlineLvl w:val="0"/>
    </w:pPr>
    <w:rPr>
      <w:rFonts w:ascii="Bookman Old Style" w:eastAsia="Bookman Old Style" w:hAnsi="Bookman Old Style" w:cs="Bookman Old Style"/>
      <w:b/>
      <w:color w:val="000000"/>
      <w:sz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virtuale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egiudiziarie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egiudiziari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virtuale.it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8228</Words>
  <Characters>46900</Characters>
  <Application>Microsoft Office Word</Application>
  <DocSecurity>4</DocSecurity>
  <Lines>390</Lines>
  <Paragraphs>110</Paragraphs>
  <ScaleCrop>false</ScaleCrop>
  <Company/>
  <LinksUpToDate>false</LinksUpToDate>
  <CharactersWithSpaces>55018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Catagna</dc:creator>
  <cp:keywords/>
  <cp:lastModifiedBy>Utente</cp:lastModifiedBy>
  <cp:revision>2</cp:revision>
  <cp:lastPrinted>2024-12-18T09:50:00Z</cp:lastPrinted>
  <dcterms:created xsi:type="dcterms:W3CDTF">2024-12-18T09:50:00Z</dcterms:created>
  <dcterms:modified xsi:type="dcterms:W3CDTF">2024-12-18T09:50:00Z</dcterms:modified>
</cp:coreProperties>
</file>